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C27090D" w:rsidR="00E978D0" w:rsidRPr="00B57B36" w:rsidRDefault="00BB5A35" w:rsidP="002A6CC5">
      <w:pPr>
        <w:pStyle w:val="CETTitle"/>
      </w:pPr>
      <w:r w:rsidRPr="00BB5A35">
        <w:t xml:space="preserve">Production of </w:t>
      </w:r>
      <w:r w:rsidR="00A36AA8">
        <w:t>H</w:t>
      </w:r>
      <w:r w:rsidRPr="00BB5A35">
        <w:t xml:space="preserve">igh </w:t>
      </w:r>
      <w:r w:rsidR="00A36AA8">
        <w:t>E</w:t>
      </w:r>
      <w:r w:rsidRPr="00BB5A35">
        <w:t>nergy-</w:t>
      </w:r>
      <w:r w:rsidR="00A36AA8">
        <w:t>D</w:t>
      </w:r>
      <w:r w:rsidRPr="00BB5A35">
        <w:t xml:space="preserve">ense </w:t>
      </w:r>
      <w:r w:rsidR="00A36AA8">
        <w:t>S</w:t>
      </w:r>
      <w:r w:rsidRPr="00BB5A35">
        <w:t xml:space="preserve">olid </w:t>
      </w:r>
      <w:r w:rsidR="00A36AA8">
        <w:t>B</w:t>
      </w:r>
      <w:r w:rsidRPr="00BB5A35">
        <w:t xml:space="preserve">iofuel and </w:t>
      </w:r>
      <w:r w:rsidR="00A36AA8">
        <w:t>B</w:t>
      </w:r>
      <w:r w:rsidRPr="00BB5A35">
        <w:t>iopolymer</w:t>
      </w:r>
      <w:r>
        <w:t xml:space="preserve"> </w:t>
      </w:r>
      <w:r w:rsidR="00A36AA8">
        <w:t>F</w:t>
      </w:r>
      <w:r w:rsidRPr="00BB5A35">
        <w:t xml:space="preserve">iller via </w:t>
      </w:r>
      <w:r w:rsidR="00A36AA8">
        <w:t>H</w:t>
      </w:r>
      <w:r w:rsidRPr="00BB5A35">
        <w:t xml:space="preserve">ydrothermal </w:t>
      </w:r>
      <w:r w:rsidR="00A36AA8">
        <w:t>C</w:t>
      </w:r>
      <w:r w:rsidRPr="00BB5A35">
        <w:t xml:space="preserve">arbonization of </w:t>
      </w:r>
      <w:r w:rsidR="00A36AA8">
        <w:t>C</w:t>
      </w:r>
      <w:r w:rsidRPr="00BB5A35">
        <w:t xml:space="preserve">arob </w:t>
      </w:r>
      <w:r w:rsidR="00A36AA8">
        <w:t>F</w:t>
      </w:r>
      <w:r w:rsidRPr="00BB5A35">
        <w:t>ruit</w:t>
      </w:r>
    </w:p>
    <w:p w14:paraId="0488FED2" w14:textId="0D184614" w:rsidR="00B57E6F" w:rsidRPr="00617241" w:rsidRDefault="00BB5A35" w:rsidP="00B57E6F">
      <w:pPr>
        <w:pStyle w:val="CETAuthors"/>
        <w:rPr>
          <w:lang w:val="it-IT"/>
        </w:rPr>
      </w:pPr>
      <w:r w:rsidRPr="00617241">
        <w:rPr>
          <w:lang w:val="it-IT"/>
        </w:rPr>
        <w:t>Maurizio Volpe</w:t>
      </w:r>
      <w:r w:rsidR="00B57E6F" w:rsidRPr="00617241">
        <w:rPr>
          <w:vertAlign w:val="superscript"/>
          <w:lang w:val="it-IT"/>
        </w:rPr>
        <w:t>a</w:t>
      </w:r>
      <w:r w:rsidRPr="00617241">
        <w:rPr>
          <w:lang w:val="it-IT"/>
        </w:rPr>
        <w:t>*</w:t>
      </w:r>
      <w:r w:rsidR="00B57E6F" w:rsidRPr="00617241">
        <w:rPr>
          <w:lang w:val="it-IT"/>
        </w:rPr>
        <w:t xml:space="preserve">, </w:t>
      </w:r>
      <w:r w:rsidRPr="00617241">
        <w:rPr>
          <w:lang w:val="it-IT"/>
        </w:rPr>
        <w:t>Giulia Infurna</w:t>
      </w:r>
      <w:r w:rsidR="00B57E6F" w:rsidRPr="00617241">
        <w:rPr>
          <w:vertAlign w:val="superscript"/>
          <w:lang w:val="it-IT"/>
        </w:rPr>
        <w:t>b</w:t>
      </w:r>
      <w:r w:rsidR="00B57E6F" w:rsidRPr="007B1992">
        <w:rPr>
          <w:lang w:val="it-IT"/>
        </w:rPr>
        <w:t xml:space="preserve">, </w:t>
      </w:r>
      <w:r w:rsidRPr="007B1992">
        <w:rPr>
          <w:lang w:val="it-IT"/>
        </w:rPr>
        <w:t>Nad</w:t>
      </w:r>
      <w:r w:rsidR="00617241" w:rsidRPr="007B1992">
        <w:rPr>
          <w:lang w:val="it-IT"/>
        </w:rPr>
        <w:t>ka Tz.</w:t>
      </w:r>
      <w:r w:rsidRPr="007B1992">
        <w:rPr>
          <w:lang w:val="it-IT"/>
        </w:rPr>
        <w:t xml:space="preserve"> Dintcheva</w:t>
      </w:r>
      <w:r w:rsidRPr="007B1992">
        <w:rPr>
          <w:vertAlign w:val="superscript"/>
          <w:lang w:val="it-IT"/>
        </w:rPr>
        <w:t>b</w:t>
      </w:r>
      <w:r w:rsidRPr="007B1992">
        <w:rPr>
          <w:lang w:val="it-IT"/>
        </w:rPr>
        <w:t>, Antonio</w:t>
      </w:r>
      <w:r w:rsidRPr="00617241">
        <w:rPr>
          <w:lang w:val="it-IT"/>
        </w:rPr>
        <w:t xml:space="preserve"> Messineo</w:t>
      </w:r>
      <w:r w:rsidRPr="00617241">
        <w:rPr>
          <w:vertAlign w:val="superscript"/>
          <w:lang w:val="it-IT"/>
        </w:rPr>
        <w:t>a</w:t>
      </w:r>
    </w:p>
    <w:p w14:paraId="6B2D21B3" w14:textId="2D53A1BC" w:rsidR="00B57E6F" w:rsidRPr="00617241" w:rsidRDefault="00BB5A35" w:rsidP="00B57E6F">
      <w:pPr>
        <w:pStyle w:val="CETAddress"/>
        <w:rPr>
          <w:lang w:val="it-IT"/>
        </w:rPr>
      </w:pPr>
      <w:r w:rsidRPr="00617241">
        <w:rPr>
          <w:vertAlign w:val="superscript"/>
          <w:lang w:val="it-IT"/>
        </w:rPr>
        <w:t>a</w:t>
      </w:r>
      <w:r w:rsidRPr="00617241">
        <w:rPr>
          <w:lang w:val="it-IT"/>
        </w:rPr>
        <w:t>Dipartimento di Ingegneria e Architettura,  Università di Enna, Kore, cittadella Universitaria, 94100, Enna, Italia</w:t>
      </w:r>
    </w:p>
    <w:p w14:paraId="3D72B0B0" w14:textId="0440DD02" w:rsidR="00B57E6F" w:rsidRDefault="00B57E6F" w:rsidP="00B57E6F">
      <w:pPr>
        <w:pStyle w:val="CETAddress"/>
      </w:pPr>
      <w:r w:rsidRPr="00617241">
        <w:rPr>
          <w:vertAlign w:val="superscript"/>
          <w:lang w:val="it-IT"/>
        </w:rPr>
        <w:t>b</w:t>
      </w:r>
      <w:r w:rsidR="00BB5A35" w:rsidRPr="00617241">
        <w:rPr>
          <w:lang w:val="it-IT"/>
        </w:rPr>
        <w:t xml:space="preserve">Dipartimento di Ingegneria, Università degli Studi di Palermo, viale delle scienze Ed. 6, 90128. </w:t>
      </w:r>
      <w:r w:rsidR="00BB5A35" w:rsidRPr="00BB5A35">
        <w:t>Palermo, Italia</w:t>
      </w:r>
    </w:p>
    <w:p w14:paraId="476B59FC" w14:textId="7F750235" w:rsidR="0087779F" w:rsidRPr="00B57B36" w:rsidRDefault="0087779F" w:rsidP="00B57E6F">
      <w:pPr>
        <w:pStyle w:val="CETAddress"/>
      </w:pPr>
      <w:r>
        <w:t>maurizio.volpe@unikore.it</w:t>
      </w:r>
    </w:p>
    <w:p w14:paraId="38FAB00E" w14:textId="77777777" w:rsidR="0087779F" w:rsidRDefault="0087779F" w:rsidP="00BB5A35">
      <w:pPr>
        <w:pStyle w:val="CETBodytext"/>
        <w:rPr>
          <w:lang w:val="en-GB"/>
        </w:rPr>
      </w:pPr>
    </w:p>
    <w:p w14:paraId="37A61FCE" w14:textId="031C971A" w:rsidR="00DA24C6" w:rsidRPr="0087779F" w:rsidRDefault="00BB5A35" w:rsidP="00BB5A35">
      <w:pPr>
        <w:pStyle w:val="CETBodytext"/>
        <w:rPr>
          <w:lang w:val="en-GB"/>
        </w:rPr>
      </w:pPr>
      <w:r w:rsidRPr="00BB5A35">
        <w:rPr>
          <w:lang w:val="en-GB"/>
        </w:rPr>
        <w:t xml:space="preserve">In this study fresh carob tree fruits (CF), a very widespread botanical species in the Mediterranean basin, were hydrothermally carbonized </w:t>
      </w:r>
      <w:r w:rsidR="0087779F">
        <w:rPr>
          <w:lang w:val="en-GB"/>
        </w:rPr>
        <w:t xml:space="preserve">(HTC) </w:t>
      </w:r>
      <w:r w:rsidRPr="00BB5A35">
        <w:rPr>
          <w:lang w:val="en-GB"/>
        </w:rPr>
        <w:t xml:space="preserve">at 200, </w:t>
      </w:r>
      <w:r w:rsidR="00962FE1">
        <w:rPr>
          <w:lang w:val="en-GB"/>
        </w:rPr>
        <w:t xml:space="preserve">230, </w:t>
      </w:r>
      <w:r w:rsidRPr="00BB5A35">
        <w:rPr>
          <w:lang w:val="en-GB"/>
        </w:rPr>
        <w:t xml:space="preserve">250, and 280 °C for a residence time of 0.5 h and a biomass-to-water mass ratio (B/W) of 0.1.  </w:t>
      </w:r>
      <w:r w:rsidR="005F604F" w:rsidRPr="00BB5A35">
        <w:rPr>
          <w:lang w:val="en-GB"/>
        </w:rPr>
        <w:t xml:space="preserve">CF </w:t>
      </w:r>
      <w:r w:rsidR="005F604F">
        <w:rPr>
          <w:lang w:val="en-GB"/>
        </w:rPr>
        <w:t>hydrochars</w:t>
      </w:r>
      <w:r w:rsidR="005F604F" w:rsidRPr="00BB5A35">
        <w:rPr>
          <w:lang w:val="en-GB"/>
        </w:rPr>
        <w:t xml:space="preserve"> were characterized in terms of elemental and proximate analysis</w:t>
      </w:r>
      <w:r w:rsidR="005F604F">
        <w:rPr>
          <w:lang w:val="en-GB"/>
        </w:rPr>
        <w:t xml:space="preserve"> for their possible valorization as solid biofuels</w:t>
      </w:r>
      <w:r w:rsidR="005F604F" w:rsidRPr="00BB5A35">
        <w:rPr>
          <w:lang w:val="en-GB"/>
        </w:rPr>
        <w:t xml:space="preserve">. </w:t>
      </w:r>
      <w:r w:rsidRPr="00BB5A35">
        <w:rPr>
          <w:lang w:val="en-GB"/>
        </w:rPr>
        <w:t xml:space="preserve">Increased reaction severity showed a decrease in solid mass yield recovery but an increase in </w:t>
      </w:r>
      <w:r w:rsidR="0087779F">
        <w:rPr>
          <w:lang w:val="en-GB"/>
        </w:rPr>
        <w:t>hydroc</w:t>
      </w:r>
      <w:r w:rsidR="00617241">
        <w:rPr>
          <w:lang w:val="en-GB"/>
        </w:rPr>
        <w:t>h</w:t>
      </w:r>
      <w:r w:rsidR="0087779F">
        <w:rPr>
          <w:lang w:val="en-GB"/>
        </w:rPr>
        <w:t>ar</w:t>
      </w:r>
      <w:r w:rsidRPr="00BB5A35">
        <w:rPr>
          <w:lang w:val="en-GB"/>
        </w:rPr>
        <w:t xml:space="preserve"> fixed carbon content and energy density. </w:t>
      </w:r>
      <w:r w:rsidR="0087779F">
        <w:rPr>
          <w:lang w:val="en-GB"/>
        </w:rPr>
        <w:t>Hydroc</w:t>
      </w:r>
      <w:r w:rsidR="00617241">
        <w:rPr>
          <w:lang w:val="en-GB"/>
        </w:rPr>
        <w:t>h</w:t>
      </w:r>
      <w:r w:rsidR="0087779F">
        <w:rPr>
          <w:lang w:val="en-GB"/>
        </w:rPr>
        <w:t>ars</w:t>
      </w:r>
      <w:r w:rsidRPr="00BB5A35">
        <w:rPr>
          <w:lang w:val="en-GB"/>
        </w:rPr>
        <w:t xml:space="preserve"> showed a high heating value (HHV) up to about 2</w:t>
      </w:r>
      <w:r w:rsidR="00793061">
        <w:rPr>
          <w:lang w:val="en-GB"/>
        </w:rPr>
        <w:t>7.7</w:t>
      </w:r>
      <w:r w:rsidRPr="00BB5A35">
        <w:rPr>
          <w:lang w:val="en-GB"/>
        </w:rPr>
        <w:t xml:space="preserve"> MJ/kg with a corresponding energy densification ratio (EDR) higher than 1</w:t>
      </w:r>
      <w:r w:rsidR="00793061">
        <w:rPr>
          <w:lang w:val="en-GB"/>
        </w:rPr>
        <w:t>5</w:t>
      </w:r>
      <w:r w:rsidRPr="00BB5A35">
        <w:rPr>
          <w:lang w:val="en-GB"/>
        </w:rPr>
        <w:t xml:space="preserve">0%.  CF hydrochars were </w:t>
      </w:r>
      <w:r w:rsidR="00EF3393">
        <w:rPr>
          <w:lang w:val="en-GB"/>
        </w:rPr>
        <w:t xml:space="preserve">also </w:t>
      </w:r>
      <w:r w:rsidRPr="00BB5A35">
        <w:rPr>
          <w:lang w:val="en-GB"/>
        </w:rPr>
        <w:t>investigated as potential carbon-dense material as fillers in bio-plastic. Therefore, the CF hydrochar particles, at different concentrations, have been introduced in biopolymer matrices</w:t>
      </w:r>
      <w:r w:rsidR="00EF3393">
        <w:rPr>
          <w:lang w:val="en-GB"/>
        </w:rPr>
        <w:t>,</w:t>
      </w:r>
      <w:r w:rsidRPr="00BB5A35">
        <w:rPr>
          <w:lang w:val="en-GB"/>
        </w:rPr>
        <w:t xml:space="preserve"> such as </w:t>
      </w:r>
      <w:proofErr w:type="spellStart"/>
      <w:r w:rsidR="003E6A30" w:rsidRPr="00D7361F">
        <w:rPr>
          <w:lang w:val="en-GB"/>
        </w:rPr>
        <w:t>PolyButylene</w:t>
      </w:r>
      <w:proofErr w:type="spellEnd"/>
      <w:r w:rsidR="003E6A30" w:rsidRPr="00D7361F">
        <w:rPr>
          <w:lang w:val="en-GB"/>
        </w:rPr>
        <w:t xml:space="preserve"> Adipate Terephthalate </w:t>
      </w:r>
      <w:r w:rsidR="003E6A30">
        <w:rPr>
          <w:lang w:val="en-GB"/>
        </w:rPr>
        <w:t>(</w:t>
      </w:r>
      <w:r w:rsidRPr="007B1992">
        <w:rPr>
          <w:lang w:val="en-GB"/>
        </w:rPr>
        <w:t>PBAT</w:t>
      </w:r>
      <w:r w:rsidR="003E6A30">
        <w:rPr>
          <w:lang w:val="en-GB"/>
        </w:rPr>
        <w:t>)</w:t>
      </w:r>
      <w:r w:rsidRPr="007B1992">
        <w:rPr>
          <w:lang w:val="en-GB"/>
        </w:rPr>
        <w:t>,</w:t>
      </w:r>
      <w:r w:rsidRPr="00BB5A35">
        <w:rPr>
          <w:lang w:val="en-GB"/>
        </w:rPr>
        <w:t xml:space="preserve"> by melt mixing and the rheological and mechanical </w:t>
      </w:r>
      <w:r w:rsidR="00A44574" w:rsidRPr="00BB5A35">
        <w:rPr>
          <w:lang w:val="en-GB"/>
        </w:rPr>
        <w:t>behaviour</w:t>
      </w:r>
      <w:r w:rsidRPr="00BB5A35">
        <w:rPr>
          <w:lang w:val="en-GB"/>
        </w:rPr>
        <w:t xml:space="preserve"> of</w:t>
      </w:r>
      <w:r w:rsidRPr="0087779F">
        <w:rPr>
          <w:lang w:val="en-GB"/>
        </w:rPr>
        <w:t xml:space="preserve"> the bio</w:t>
      </w:r>
      <w:r w:rsidR="00793061">
        <w:rPr>
          <w:lang w:val="en-GB"/>
        </w:rPr>
        <w:t>-</w:t>
      </w:r>
      <w:r w:rsidRPr="0087779F">
        <w:rPr>
          <w:lang w:val="en-GB"/>
        </w:rPr>
        <w:t>composites ha</w:t>
      </w:r>
      <w:r w:rsidR="0099001C">
        <w:rPr>
          <w:lang w:val="en-GB"/>
        </w:rPr>
        <w:t>ve</w:t>
      </w:r>
      <w:r w:rsidRPr="0087779F">
        <w:rPr>
          <w:lang w:val="en-GB"/>
        </w:rPr>
        <w:t xml:space="preserve"> been evaluated considering </w:t>
      </w:r>
      <w:r w:rsidR="00EF3393">
        <w:rPr>
          <w:lang w:val="en-GB"/>
        </w:rPr>
        <w:t xml:space="preserve">their </w:t>
      </w:r>
      <w:r w:rsidRPr="0087779F">
        <w:rPr>
          <w:lang w:val="en-GB"/>
        </w:rPr>
        <w:t xml:space="preserve">potential application in </w:t>
      </w:r>
      <w:r w:rsidR="00EF3393">
        <w:rPr>
          <w:lang w:val="en-GB"/>
        </w:rPr>
        <w:t xml:space="preserve">the </w:t>
      </w:r>
      <w:r w:rsidRPr="0087779F">
        <w:rPr>
          <w:lang w:val="en-GB"/>
        </w:rPr>
        <w:t>packaging sector.</w:t>
      </w:r>
    </w:p>
    <w:p w14:paraId="476B2F2E" w14:textId="77777777" w:rsidR="00600535" w:rsidRPr="00B57B36" w:rsidRDefault="00600535" w:rsidP="00600535">
      <w:pPr>
        <w:pStyle w:val="CETHeading1"/>
        <w:rPr>
          <w:lang w:val="en-GB"/>
        </w:rPr>
      </w:pPr>
      <w:r w:rsidRPr="00B57B36">
        <w:rPr>
          <w:lang w:val="en-GB"/>
        </w:rPr>
        <w:t>Introduction</w:t>
      </w:r>
    </w:p>
    <w:p w14:paraId="23F86FEF" w14:textId="5939FBA9" w:rsidR="00600535" w:rsidRDefault="00590F5D" w:rsidP="00600535">
      <w:pPr>
        <w:pStyle w:val="CETBodytext"/>
        <w:rPr>
          <w:lang w:val="en-GB"/>
        </w:rPr>
      </w:pPr>
      <w:r>
        <w:rPr>
          <w:lang w:val="en-GB"/>
        </w:rPr>
        <w:t xml:space="preserve">Thermochemical upgrade of biomass represents one of the most favourite options for </w:t>
      </w:r>
      <w:r w:rsidR="00793061">
        <w:rPr>
          <w:lang w:val="en-GB"/>
        </w:rPr>
        <w:t>energy production</w:t>
      </w:r>
      <w:r>
        <w:rPr>
          <w:lang w:val="en-GB"/>
        </w:rPr>
        <w:t xml:space="preserve"> due to the large and equally globally availability of the source.  </w:t>
      </w:r>
      <w:r w:rsidR="001A3454">
        <w:rPr>
          <w:lang w:val="en-GB"/>
        </w:rPr>
        <w:t>If, on the one hand</w:t>
      </w:r>
      <w:r w:rsidR="007B1992">
        <w:rPr>
          <w:lang w:val="en-GB"/>
        </w:rPr>
        <w:t>,</w:t>
      </w:r>
      <w:r w:rsidR="001A3454">
        <w:rPr>
          <w:lang w:val="en-GB"/>
        </w:rPr>
        <w:t xml:space="preserve"> i</w:t>
      </w:r>
      <w:r w:rsidR="00BD721A">
        <w:rPr>
          <w:lang w:val="en-GB"/>
        </w:rPr>
        <w:t xml:space="preserve">n the last </w:t>
      </w:r>
      <w:r w:rsidR="001A3454">
        <w:rPr>
          <w:lang w:val="en-GB"/>
        </w:rPr>
        <w:t>two decades</w:t>
      </w:r>
      <w:r w:rsidR="00BD721A">
        <w:rPr>
          <w:lang w:val="en-GB"/>
        </w:rPr>
        <w:t xml:space="preserve"> the number o</w:t>
      </w:r>
      <w:r w:rsidR="001A3454">
        <w:rPr>
          <w:lang w:val="en-GB"/>
        </w:rPr>
        <w:t>f</w:t>
      </w:r>
      <w:r w:rsidR="00BD721A">
        <w:rPr>
          <w:lang w:val="en-GB"/>
        </w:rPr>
        <w:t xml:space="preserve"> studies dealing with the energy valorization of waste biomass via</w:t>
      </w:r>
      <w:r w:rsidR="001A3454">
        <w:rPr>
          <w:lang w:val="en-GB"/>
        </w:rPr>
        <w:t xml:space="preserve"> dry thermochemical technologies as</w:t>
      </w:r>
      <w:r w:rsidR="00BD721A">
        <w:rPr>
          <w:lang w:val="en-GB"/>
        </w:rPr>
        <w:t xml:space="preserve"> torrefaction</w:t>
      </w:r>
      <w:r w:rsidR="001A3454">
        <w:rPr>
          <w:lang w:val="en-GB"/>
        </w:rPr>
        <w:t xml:space="preserve"> (Prins et al., 2006)</w:t>
      </w:r>
      <w:r w:rsidR="00BD721A">
        <w:rPr>
          <w:lang w:val="en-GB"/>
        </w:rPr>
        <w:t>, pyrolysis</w:t>
      </w:r>
      <w:r w:rsidR="008D4058">
        <w:rPr>
          <w:lang w:val="en-GB"/>
        </w:rPr>
        <w:t xml:space="preserve"> (</w:t>
      </w:r>
      <w:r w:rsidR="000E0EAB">
        <w:rPr>
          <w:lang w:val="en-GB"/>
        </w:rPr>
        <w:t>Patra</w:t>
      </w:r>
      <w:r w:rsidR="00716441">
        <w:rPr>
          <w:lang w:val="en-GB"/>
        </w:rPr>
        <w:t xml:space="preserve"> et al., 2021)</w:t>
      </w:r>
      <w:r w:rsidR="00BD721A">
        <w:rPr>
          <w:lang w:val="en-GB"/>
        </w:rPr>
        <w:t xml:space="preserve"> and gasification </w:t>
      </w:r>
      <w:r w:rsidR="001A3454">
        <w:rPr>
          <w:lang w:val="en-GB"/>
        </w:rPr>
        <w:t xml:space="preserve">(Volpe R. et al., 2016) </w:t>
      </w:r>
      <w:r w:rsidR="00BD721A">
        <w:rPr>
          <w:lang w:val="en-GB"/>
        </w:rPr>
        <w:t>ha</w:t>
      </w:r>
      <w:r w:rsidR="001A3454">
        <w:rPr>
          <w:lang w:val="en-GB"/>
        </w:rPr>
        <w:t>ve</w:t>
      </w:r>
      <w:r w:rsidR="00BD721A">
        <w:rPr>
          <w:lang w:val="en-GB"/>
        </w:rPr>
        <w:t xml:space="preserve"> considerably increased</w:t>
      </w:r>
      <w:r w:rsidR="00F0265A">
        <w:rPr>
          <w:lang w:val="en-GB"/>
        </w:rPr>
        <w:t>.</w:t>
      </w:r>
      <w:r w:rsidR="001A3454">
        <w:rPr>
          <w:lang w:val="en-GB"/>
        </w:rPr>
        <w:t xml:space="preserve"> </w:t>
      </w:r>
      <w:r w:rsidR="00F0265A">
        <w:rPr>
          <w:lang w:val="en-GB"/>
        </w:rPr>
        <w:t>O</w:t>
      </w:r>
      <w:r w:rsidR="001A3454">
        <w:rPr>
          <w:lang w:val="en-GB"/>
        </w:rPr>
        <w:t xml:space="preserve">n the other hand, more recently, wet thermochemical technologies like hydrothermal carbonization (HTC) </w:t>
      </w:r>
      <w:r w:rsidR="007B1992">
        <w:rPr>
          <w:lang w:val="en-GB"/>
        </w:rPr>
        <w:t>(Lucian et al., 202</w:t>
      </w:r>
      <w:r w:rsidR="0086002D">
        <w:rPr>
          <w:lang w:val="en-GB"/>
        </w:rPr>
        <w:t>1</w:t>
      </w:r>
      <w:r w:rsidR="007B1992">
        <w:rPr>
          <w:lang w:val="en-GB"/>
        </w:rPr>
        <w:t xml:space="preserve">) </w:t>
      </w:r>
      <w:r w:rsidR="001A3454">
        <w:rPr>
          <w:lang w:val="en-GB"/>
        </w:rPr>
        <w:t>and hydrothermal liquefaction (HTL)</w:t>
      </w:r>
      <w:r w:rsidR="00234C60">
        <w:rPr>
          <w:lang w:val="en-GB"/>
        </w:rPr>
        <w:t xml:space="preserve"> (Di </w:t>
      </w:r>
      <w:proofErr w:type="spellStart"/>
      <w:r w:rsidR="00234C60">
        <w:rPr>
          <w:lang w:val="en-GB"/>
        </w:rPr>
        <w:t>Lauro</w:t>
      </w:r>
      <w:proofErr w:type="spellEnd"/>
      <w:r w:rsidR="00234C60">
        <w:rPr>
          <w:lang w:val="en-GB"/>
        </w:rPr>
        <w:t xml:space="preserve"> et al., 2022)</w:t>
      </w:r>
      <w:r w:rsidR="00F0265A">
        <w:rPr>
          <w:lang w:val="en-GB"/>
        </w:rPr>
        <w:t>,</w:t>
      </w:r>
      <w:r w:rsidR="001A3454">
        <w:rPr>
          <w:lang w:val="en-GB"/>
        </w:rPr>
        <w:t xml:space="preserve"> have attracted further attention due to the possibility of direct conversion of high moisture waste biomass (water content often higher than 60 </w:t>
      </w:r>
      <w:proofErr w:type="spellStart"/>
      <w:r w:rsidR="001A3454">
        <w:rPr>
          <w:lang w:val="en-GB"/>
        </w:rPr>
        <w:t>wt</w:t>
      </w:r>
      <w:proofErr w:type="spellEnd"/>
      <w:r w:rsidR="001A3454">
        <w:rPr>
          <w:lang w:val="en-GB"/>
        </w:rPr>
        <w:t xml:space="preserve">%) without the need of high energy demanding drying pre-treatments. </w:t>
      </w:r>
      <w:r w:rsidR="00CF4807">
        <w:rPr>
          <w:lang w:val="en-GB"/>
        </w:rPr>
        <w:t>During HTC</w:t>
      </w:r>
      <w:r w:rsidR="00D2513A">
        <w:rPr>
          <w:lang w:val="en-GB"/>
        </w:rPr>
        <w:t>,</w:t>
      </w:r>
      <w:r w:rsidR="00CF4807">
        <w:rPr>
          <w:lang w:val="en-GB"/>
        </w:rPr>
        <w:t xml:space="preserve"> water, at subcritical conditions</w:t>
      </w:r>
      <w:r w:rsidR="00D2513A">
        <w:rPr>
          <w:lang w:val="en-GB"/>
        </w:rPr>
        <w:t>,</w:t>
      </w:r>
      <w:r w:rsidR="00CF4807">
        <w:rPr>
          <w:lang w:val="en-GB"/>
        </w:rPr>
        <w:t xml:space="preserve"> typically between 180 and 280 °C and corresponding saturated water pressures of 10-60 bars, </w:t>
      </w:r>
      <w:proofErr w:type="spellStart"/>
      <w:r w:rsidR="00CF4807">
        <w:rPr>
          <w:lang w:val="en-GB"/>
        </w:rPr>
        <w:t>catalyzes</w:t>
      </w:r>
      <w:proofErr w:type="spellEnd"/>
      <w:r w:rsidR="00CF4807">
        <w:rPr>
          <w:lang w:val="en-GB"/>
        </w:rPr>
        <w:t xml:space="preserve"> degradation of biomass components through subsequent reaction of dehydration, hydrolysis and decarbo</w:t>
      </w:r>
      <w:r w:rsidR="006458B2">
        <w:rPr>
          <w:lang w:val="en-GB"/>
        </w:rPr>
        <w:t>xy</w:t>
      </w:r>
      <w:r w:rsidR="00CF4807">
        <w:rPr>
          <w:lang w:val="en-GB"/>
        </w:rPr>
        <w:t xml:space="preserve">lation </w:t>
      </w:r>
      <w:r w:rsidR="00D2513A" w:rsidRPr="00D2513A">
        <w:rPr>
          <w:lang w:val="en-GB"/>
        </w:rPr>
        <w:t>(</w:t>
      </w:r>
      <w:r w:rsidR="00D2513A" w:rsidRPr="00D2513A">
        <w:rPr>
          <w:rFonts w:cs="Arial"/>
          <w:szCs w:val="18"/>
        </w:rPr>
        <w:t xml:space="preserve">Kruse and </w:t>
      </w:r>
      <w:proofErr w:type="spellStart"/>
      <w:r w:rsidR="00D2513A" w:rsidRPr="00D2513A">
        <w:rPr>
          <w:rFonts w:cs="Arial"/>
          <w:szCs w:val="18"/>
        </w:rPr>
        <w:t>Dahmen</w:t>
      </w:r>
      <w:proofErr w:type="spellEnd"/>
      <w:r w:rsidR="00D2513A" w:rsidRPr="00D2513A">
        <w:rPr>
          <w:rFonts w:cs="Arial"/>
          <w:szCs w:val="18"/>
        </w:rPr>
        <w:t>, 2015)</w:t>
      </w:r>
      <w:r w:rsidR="00D2513A">
        <w:rPr>
          <w:lang w:val="en-GB"/>
        </w:rPr>
        <w:t xml:space="preserve"> </w:t>
      </w:r>
      <w:r w:rsidR="00CF4807">
        <w:rPr>
          <w:lang w:val="en-GB"/>
        </w:rPr>
        <w:t>with the production of a high carbon dense solid material, named hydroc</w:t>
      </w:r>
      <w:r w:rsidR="00C8051E">
        <w:rPr>
          <w:lang w:val="en-GB"/>
        </w:rPr>
        <w:t>h</w:t>
      </w:r>
      <w:r w:rsidR="00CF4807">
        <w:rPr>
          <w:lang w:val="en-GB"/>
        </w:rPr>
        <w:t>ar, a</w:t>
      </w:r>
      <w:r w:rsidR="00D2513A">
        <w:rPr>
          <w:lang w:val="en-GB"/>
        </w:rPr>
        <w:t>n</w:t>
      </w:r>
      <w:r w:rsidR="00CF4807">
        <w:rPr>
          <w:lang w:val="en-GB"/>
        </w:rPr>
        <w:t xml:space="preserve"> aqueous liquid fraction</w:t>
      </w:r>
      <w:r w:rsidR="00D2513A">
        <w:rPr>
          <w:lang w:val="en-GB"/>
        </w:rPr>
        <w:t xml:space="preserve"> containing oxygenated compounds as organic acids (acetic, formic, </w:t>
      </w:r>
      <w:proofErr w:type="spellStart"/>
      <w:r w:rsidR="00D2513A">
        <w:rPr>
          <w:lang w:val="en-GB"/>
        </w:rPr>
        <w:t>levulinic</w:t>
      </w:r>
      <w:proofErr w:type="spellEnd"/>
      <w:r w:rsidR="00D2513A">
        <w:rPr>
          <w:lang w:val="en-GB"/>
        </w:rPr>
        <w:t xml:space="preserve"> etc.) and furfurals like 5-HMF. A small fraction of the staring materials is also converted in a gas phase mainly constituted of carbon dioxide (</w:t>
      </w:r>
      <w:proofErr w:type="spellStart"/>
      <w:r w:rsidR="00D2513A">
        <w:rPr>
          <w:lang w:val="en-GB"/>
        </w:rPr>
        <w:t>Hitzl</w:t>
      </w:r>
      <w:proofErr w:type="spellEnd"/>
      <w:r w:rsidR="00D2513A">
        <w:rPr>
          <w:lang w:val="en-GB"/>
        </w:rPr>
        <w:t xml:space="preserve"> et al., 2015).</w:t>
      </w:r>
    </w:p>
    <w:p w14:paraId="5D43B164" w14:textId="56F5A31D" w:rsidR="003E6A30" w:rsidRPr="00D7361F" w:rsidRDefault="003E6A30" w:rsidP="003E6A30">
      <w:r>
        <w:t xml:space="preserve">Between other </w:t>
      </w:r>
      <w:r w:rsidRPr="00D7361F">
        <w:t>proposed applications</w:t>
      </w:r>
      <w:r>
        <w:t>, rather than biofuels,</w:t>
      </w:r>
      <w:r w:rsidRPr="00D7361F">
        <w:t xml:space="preserve"> pyrolyzed char particles </w:t>
      </w:r>
      <w:r>
        <w:t>have been mainly investigated</w:t>
      </w:r>
      <w:r w:rsidRPr="00D7361F">
        <w:t xml:space="preserve"> as </w:t>
      </w:r>
      <w:r>
        <w:t xml:space="preserve">fertilizers </w:t>
      </w:r>
      <w:r w:rsidRPr="00D7361F">
        <w:t xml:space="preserve">for poor soils </w:t>
      </w:r>
      <w:r>
        <w:t>(Wang et al., 2022)</w:t>
      </w:r>
      <w:r w:rsidRPr="00D7361F">
        <w:t xml:space="preserve"> and as fillers for the formulation of sustainable composites </w:t>
      </w:r>
      <w:r>
        <w:t>(</w:t>
      </w:r>
      <w:proofErr w:type="spellStart"/>
      <w:r>
        <w:t>Infurna</w:t>
      </w:r>
      <w:proofErr w:type="spellEnd"/>
      <w:r>
        <w:t xml:space="preserve"> et al., 202</w:t>
      </w:r>
      <w:r w:rsidR="00E5740D">
        <w:t>3</w:t>
      </w:r>
      <w:r w:rsidR="00EF722C">
        <w:t>a</w:t>
      </w:r>
      <w:r>
        <w:t>).</w:t>
      </w:r>
      <w:r w:rsidRPr="00D7361F">
        <w:t xml:space="preserve"> According to previous works, the addition of biochar particles produced by slow pyrolysis of biomasses le</w:t>
      </w:r>
      <w:r w:rsidR="006458B2">
        <w:t>d</w:t>
      </w:r>
      <w:r w:rsidRPr="00D7361F">
        <w:t xml:space="preserve"> to the increase of system rigidity, penalizing significantly the ductility </w:t>
      </w:r>
      <w:r w:rsidR="00F76035">
        <w:t>(</w:t>
      </w:r>
      <w:proofErr w:type="spellStart"/>
      <w:r w:rsidR="00F76035">
        <w:t>Infurna</w:t>
      </w:r>
      <w:proofErr w:type="spellEnd"/>
      <w:r w:rsidR="00F76035">
        <w:t xml:space="preserve"> et al., 202</w:t>
      </w:r>
      <w:r w:rsidR="00EF722C">
        <w:t>3b</w:t>
      </w:r>
      <w:r w:rsidR="00F76035">
        <w:t>).</w:t>
      </w:r>
      <w:r w:rsidRPr="00D7361F">
        <w:t xml:space="preserve"> Another important effect, due to the presence of biochar particles, is related to the modification of the optical properties. Particularly, as known, the biochar particles show dark colour, i.e., brown to black colour, and this influence significantly the colour of biopolymer-based manufacturers. As expected, the dark colour of biochar particles determines a well-pronounced UV absorption that could be useful for some specific applications, such as covering and mulching biopolymer films.</w:t>
      </w:r>
      <w:r>
        <w:t xml:space="preserve"> </w:t>
      </w:r>
      <w:r w:rsidRPr="00D7361F">
        <w:t xml:space="preserve">The hydrothermal treatment of biomasses, being </w:t>
      </w:r>
      <w:r w:rsidRPr="00D7361F">
        <w:lastRenderedPageBreak/>
        <w:t xml:space="preserve">made at lower temperatures in comparison to that of fast and slow pyrolysis, could preserve native functional groups of the biomasses and this could be considered useful for the formulation of novel </w:t>
      </w:r>
      <w:proofErr w:type="spellStart"/>
      <w:r w:rsidRPr="00D7361F">
        <w:t>biocomposites</w:t>
      </w:r>
      <w:proofErr w:type="spellEnd"/>
      <w:r w:rsidRPr="00D7361F">
        <w:t>.</w:t>
      </w:r>
      <w:r>
        <w:t xml:space="preserve"> </w:t>
      </w:r>
      <w:r w:rsidRPr="00D7361F">
        <w:t>In this work, we process</w:t>
      </w:r>
      <w:r w:rsidR="006458B2">
        <w:t>ed</w:t>
      </w:r>
      <w:r w:rsidRPr="00D7361F">
        <w:t xml:space="preserve"> the carob through hydrothermal cracking of the biomass at lower temperatures, i.e., between 200 and 280 °C, aiming to maintain the native functional groups and then, these hydrochar particles have been added through melt mixing to PBAT.</w:t>
      </w:r>
    </w:p>
    <w:p w14:paraId="5741900F" w14:textId="23C12C9C" w:rsidR="00453E24" w:rsidRDefault="00AF61A7" w:rsidP="00453E24">
      <w:pPr>
        <w:pStyle w:val="CETHeading1"/>
      </w:pPr>
      <w:r>
        <w:t>Materials and Metho</w:t>
      </w:r>
      <w:r w:rsidR="003E6472">
        <w:t>d</w:t>
      </w:r>
      <w:r>
        <w:t>s</w:t>
      </w:r>
    </w:p>
    <w:p w14:paraId="18BAFA6F" w14:textId="7E30F819" w:rsidR="00453E24" w:rsidRPr="00B57B36" w:rsidRDefault="00E64DB9" w:rsidP="00D252BC">
      <w:pPr>
        <w:pStyle w:val="CETheadingx"/>
      </w:pPr>
      <w:r>
        <w:t>Materials</w:t>
      </w:r>
    </w:p>
    <w:p w14:paraId="3BCE91FF" w14:textId="42232168" w:rsidR="00DD4EC5" w:rsidRDefault="00DD4EC5" w:rsidP="00DD4EC5">
      <w:pPr>
        <w:pStyle w:val="Paragrafoelenco"/>
        <w:ind w:left="0"/>
        <w:rPr>
          <w:rFonts w:cs="Arial"/>
          <w:szCs w:val="18"/>
          <w:lang w:val="en-US"/>
        </w:rPr>
      </w:pPr>
      <w:r w:rsidRPr="00AF61A7">
        <w:rPr>
          <w:rFonts w:cs="Arial"/>
          <w:szCs w:val="18"/>
          <w:lang w:val="en-US"/>
        </w:rPr>
        <w:t xml:space="preserve">Carob </w:t>
      </w:r>
      <w:r>
        <w:rPr>
          <w:rFonts w:cs="Arial"/>
          <w:szCs w:val="18"/>
          <w:lang w:val="en-US"/>
        </w:rPr>
        <w:t xml:space="preserve">fruits were collected in Palermo province, and the fresh fruits grounded by a </w:t>
      </w:r>
      <w:r w:rsidRPr="00AF61A7">
        <w:rPr>
          <w:rFonts w:cs="Arial"/>
          <w:szCs w:val="18"/>
          <w:lang w:val="en-US"/>
        </w:rPr>
        <w:t>knife miller</w:t>
      </w:r>
      <w:r>
        <w:rPr>
          <w:rFonts w:cs="Arial"/>
          <w:szCs w:val="18"/>
          <w:lang w:val="en-US"/>
        </w:rPr>
        <w:t xml:space="preserve"> to produce a homogeneous </w:t>
      </w:r>
      <w:r w:rsidR="007B5559">
        <w:rPr>
          <w:rFonts w:cs="Arial"/>
          <w:szCs w:val="18"/>
          <w:lang w:val="en-US"/>
        </w:rPr>
        <w:t xml:space="preserve">pulp </w:t>
      </w:r>
      <w:r>
        <w:rPr>
          <w:rFonts w:cs="Arial"/>
          <w:szCs w:val="18"/>
          <w:lang w:val="en-US"/>
        </w:rPr>
        <w:t>residue named CF.  The so obtained material was portioned and stored in a freezer at – 20 °C in sealed plastic bags in order to preserve the characteristics before its use. CF sample</w:t>
      </w:r>
      <w:r w:rsidR="007B5559">
        <w:rPr>
          <w:rFonts w:cs="Arial"/>
          <w:szCs w:val="18"/>
          <w:lang w:val="en-US"/>
        </w:rPr>
        <w:t>s</w:t>
      </w:r>
      <w:r>
        <w:rPr>
          <w:rFonts w:cs="Arial"/>
          <w:szCs w:val="18"/>
          <w:lang w:val="en-US"/>
        </w:rPr>
        <w:t xml:space="preserve"> w</w:t>
      </w:r>
      <w:r w:rsidR="007B5559">
        <w:rPr>
          <w:rFonts w:cs="Arial"/>
          <w:szCs w:val="18"/>
          <w:lang w:val="en-US"/>
        </w:rPr>
        <w:t>ere</w:t>
      </w:r>
      <w:r>
        <w:rPr>
          <w:rFonts w:cs="Arial"/>
          <w:szCs w:val="18"/>
          <w:lang w:val="en-US"/>
        </w:rPr>
        <w:t xml:space="preserve"> defrosted slowly at room temperature (about 20 °C) before each HTC reaction test. CF samples were defrosted and dried in a ventilated oven at 55 °C, until constant weight, before any analytical characterization. CF sample showed average </w:t>
      </w:r>
      <w:r w:rsidRPr="00AF61A7">
        <w:rPr>
          <w:rFonts w:cs="Arial"/>
          <w:szCs w:val="18"/>
          <w:lang w:val="en-US"/>
        </w:rPr>
        <w:t xml:space="preserve">moisture content </w:t>
      </w:r>
      <w:r>
        <w:rPr>
          <w:rFonts w:cs="Arial"/>
          <w:szCs w:val="18"/>
          <w:lang w:val="en-US"/>
        </w:rPr>
        <w:t xml:space="preserve">(M%) of 20.05 </w:t>
      </w:r>
      <w:r w:rsidRPr="00AF61A7">
        <w:rPr>
          <w:rFonts w:cs="Arial"/>
          <w:szCs w:val="18"/>
          <w:lang w:val="en-US"/>
        </w:rPr>
        <w:t>± 0.</w:t>
      </w:r>
      <w:r>
        <w:rPr>
          <w:rFonts w:cs="Arial"/>
          <w:szCs w:val="18"/>
          <w:lang w:val="en-US"/>
        </w:rPr>
        <w:t>75</w:t>
      </w:r>
      <w:r w:rsidRPr="00AF61A7">
        <w:rPr>
          <w:rFonts w:cs="Arial"/>
          <w:szCs w:val="18"/>
          <w:lang w:val="en-US"/>
        </w:rPr>
        <w:t>%.</w:t>
      </w:r>
    </w:p>
    <w:p w14:paraId="735E1FC7" w14:textId="3A108CDF" w:rsidR="00E64DB9" w:rsidRPr="00B57B36" w:rsidRDefault="00E64DB9" w:rsidP="00D252BC">
      <w:pPr>
        <w:pStyle w:val="CETheadingx"/>
      </w:pPr>
      <w:r>
        <w:t>Hydrothermal carbonization procedure and residues recovery</w:t>
      </w:r>
    </w:p>
    <w:p w14:paraId="7CF5F952" w14:textId="41BFA5A0" w:rsidR="00E64DB9" w:rsidRDefault="00E64DB9" w:rsidP="00E64DB9">
      <w:pPr>
        <w:pStyle w:val="Paragrafoelenco"/>
        <w:ind w:left="0"/>
        <w:rPr>
          <w:rFonts w:cs="Arial"/>
          <w:szCs w:val="18"/>
          <w:lang w:val="en-US"/>
        </w:rPr>
      </w:pPr>
      <w:r w:rsidRPr="00E64DB9">
        <w:rPr>
          <w:rFonts w:cs="Arial"/>
          <w:szCs w:val="18"/>
          <w:lang w:val="en-US"/>
        </w:rPr>
        <w:t xml:space="preserve">HTC runs were carried out using a </w:t>
      </w:r>
      <w:r>
        <w:rPr>
          <w:rFonts w:cs="Arial"/>
          <w:szCs w:val="18"/>
          <w:lang w:val="en-US"/>
        </w:rPr>
        <w:t xml:space="preserve">stirred (200 rpm) </w:t>
      </w:r>
      <w:r w:rsidRPr="00E64DB9">
        <w:rPr>
          <w:rFonts w:cs="Arial"/>
          <w:szCs w:val="18"/>
          <w:lang w:val="en-US"/>
        </w:rPr>
        <w:t>stainless</w:t>
      </w:r>
      <w:r>
        <w:rPr>
          <w:rFonts w:cs="Arial"/>
          <w:szCs w:val="18"/>
          <w:lang w:val="en-US"/>
        </w:rPr>
        <w:t>-</w:t>
      </w:r>
      <w:r w:rsidRPr="00E64DB9">
        <w:rPr>
          <w:rFonts w:cs="Arial"/>
          <w:szCs w:val="18"/>
          <w:lang w:val="en-US"/>
        </w:rPr>
        <w:t>steel batch reactor with an internal volume of 5</w:t>
      </w:r>
      <w:r>
        <w:rPr>
          <w:rFonts w:cs="Arial"/>
          <w:szCs w:val="18"/>
          <w:lang w:val="en-US"/>
        </w:rPr>
        <w:t>0</w:t>
      </w:r>
      <w:r w:rsidRPr="00E64DB9">
        <w:rPr>
          <w:rFonts w:cs="Arial"/>
          <w:szCs w:val="18"/>
          <w:lang w:val="en-US"/>
        </w:rPr>
        <w:t xml:space="preserve">0 </w:t>
      </w:r>
      <w:proofErr w:type="spellStart"/>
      <w:r w:rsidRPr="00E64DB9">
        <w:rPr>
          <w:rFonts w:cs="Arial"/>
          <w:szCs w:val="18"/>
          <w:lang w:val="en-US"/>
        </w:rPr>
        <w:t>mL</w:t>
      </w:r>
      <w:r>
        <w:rPr>
          <w:rFonts w:cs="Arial"/>
          <w:szCs w:val="18"/>
          <w:lang w:val="en-US"/>
        </w:rPr>
        <w:t>.</w:t>
      </w:r>
      <w:proofErr w:type="spellEnd"/>
      <w:r>
        <w:rPr>
          <w:rFonts w:cs="Arial"/>
          <w:szCs w:val="18"/>
          <w:lang w:val="en-US"/>
        </w:rPr>
        <w:t xml:space="preserve"> For each trial</w:t>
      </w:r>
      <w:r w:rsidR="00F0265A">
        <w:rPr>
          <w:rFonts w:cs="Arial"/>
          <w:szCs w:val="18"/>
          <w:lang w:val="en-US"/>
        </w:rPr>
        <w:t>,</w:t>
      </w:r>
      <w:r>
        <w:rPr>
          <w:rFonts w:cs="Arial"/>
          <w:szCs w:val="18"/>
          <w:lang w:val="en-US"/>
        </w:rPr>
        <w:t xml:space="preserve"> the reactor was</w:t>
      </w:r>
      <w:r w:rsidRPr="00E64DB9">
        <w:rPr>
          <w:rFonts w:cs="Arial"/>
          <w:szCs w:val="18"/>
          <w:lang w:val="en-US"/>
        </w:rPr>
        <w:t xml:space="preserve"> charg</w:t>
      </w:r>
      <w:r>
        <w:rPr>
          <w:rFonts w:cs="Arial"/>
          <w:szCs w:val="18"/>
          <w:lang w:val="en-US"/>
        </w:rPr>
        <w:t>ed</w:t>
      </w:r>
      <w:r w:rsidRPr="00E64DB9">
        <w:rPr>
          <w:rFonts w:cs="Arial"/>
          <w:szCs w:val="18"/>
          <w:lang w:val="en-US"/>
        </w:rPr>
        <w:t xml:space="preserve"> with approximately </w:t>
      </w:r>
      <w:r>
        <w:rPr>
          <w:rFonts w:cs="Arial"/>
          <w:szCs w:val="18"/>
          <w:lang w:val="en-US"/>
        </w:rPr>
        <w:t>38</w:t>
      </w:r>
      <w:r w:rsidRPr="00E64DB9">
        <w:rPr>
          <w:rFonts w:cs="Arial"/>
          <w:szCs w:val="18"/>
          <w:lang w:val="en-US"/>
        </w:rPr>
        <w:t>.</w:t>
      </w:r>
      <w:r>
        <w:rPr>
          <w:rFonts w:cs="Arial"/>
          <w:szCs w:val="18"/>
          <w:lang w:val="en-US"/>
        </w:rPr>
        <w:t xml:space="preserve">0 </w:t>
      </w:r>
      <w:r w:rsidRPr="00AF61A7">
        <w:rPr>
          <w:rFonts w:cs="Arial"/>
          <w:szCs w:val="18"/>
          <w:lang w:val="en-US"/>
        </w:rPr>
        <w:t>± 0.</w:t>
      </w:r>
      <w:r>
        <w:rPr>
          <w:rFonts w:cs="Arial"/>
          <w:szCs w:val="18"/>
          <w:lang w:val="en-US"/>
        </w:rPr>
        <w:t>5</w:t>
      </w:r>
      <w:r w:rsidRPr="00E64DB9">
        <w:rPr>
          <w:rFonts w:cs="Arial"/>
          <w:szCs w:val="18"/>
          <w:lang w:val="en-US"/>
        </w:rPr>
        <w:t xml:space="preserve"> g of </w:t>
      </w:r>
      <w:r>
        <w:rPr>
          <w:rFonts w:cs="Arial"/>
          <w:szCs w:val="18"/>
          <w:lang w:val="en-US"/>
        </w:rPr>
        <w:t>defrosted CF</w:t>
      </w:r>
      <w:r w:rsidRPr="00E64DB9">
        <w:rPr>
          <w:rFonts w:cs="Arial"/>
          <w:szCs w:val="18"/>
          <w:lang w:val="en-US"/>
        </w:rPr>
        <w:t xml:space="preserve"> (</w:t>
      </w:r>
      <w:r>
        <w:rPr>
          <w:rFonts w:cs="Arial"/>
          <w:szCs w:val="18"/>
          <w:lang w:val="en-US"/>
        </w:rPr>
        <w:t xml:space="preserve">approximately </w:t>
      </w:r>
      <w:r w:rsidRPr="00E64DB9">
        <w:rPr>
          <w:rFonts w:cs="Arial"/>
          <w:szCs w:val="18"/>
          <w:lang w:val="en-US"/>
        </w:rPr>
        <w:t>30</w:t>
      </w:r>
      <w:r>
        <w:rPr>
          <w:rFonts w:cs="Arial"/>
          <w:szCs w:val="18"/>
          <w:lang w:val="en-US"/>
        </w:rPr>
        <w:t>.0</w:t>
      </w:r>
      <w:r w:rsidRPr="00E64DB9">
        <w:rPr>
          <w:rFonts w:cs="Arial"/>
          <w:szCs w:val="18"/>
          <w:lang w:val="en-US"/>
        </w:rPr>
        <w:t xml:space="preserve"> g of feedstock</w:t>
      </w:r>
      <w:r>
        <w:rPr>
          <w:rFonts w:cs="Arial"/>
          <w:szCs w:val="18"/>
          <w:lang w:val="en-US"/>
        </w:rPr>
        <w:t xml:space="preserve"> on a dry basis</w:t>
      </w:r>
      <w:r w:rsidR="00CD03A8">
        <w:rPr>
          <w:rFonts w:cs="Arial"/>
          <w:szCs w:val="18"/>
          <w:lang w:val="en-US"/>
        </w:rPr>
        <w:t xml:space="preserve"> d.b.</w:t>
      </w:r>
      <w:r w:rsidRPr="00E64DB9">
        <w:rPr>
          <w:rFonts w:cs="Arial"/>
          <w:szCs w:val="18"/>
          <w:lang w:val="en-US"/>
        </w:rPr>
        <w:t xml:space="preserve">) and </w:t>
      </w:r>
      <w:r>
        <w:rPr>
          <w:rFonts w:cs="Arial"/>
          <w:szCs w:val="18"/>
          <w:lang w:val="en-US"/>
        </w:rPr>
        <w:t xml:space="preserve">about 300.0 </w:t>
      </w:r>
      <w:r w:rsidRPr="00AF61A7">
        <w:rPr>
          <w:rFonts w:cs="Arial"/>
          <w:szCs w:val="18"/>
          <w:lang w:val="en-US"/>
        </w:rPr>
        <w:t>± 0.</w:t>
      </w:r>
      <w:r>
        <w:rPr>
          <w:rFonts w:cs="Arial"/>
          <w:szCs w:val="18"/>
          <w:lang w:val="en-US"/>
        </w:rPr>
        <w:t>5</w:t>
      </w:r>
      <w:r w:rsidRPr="00E64DB9">
        <w:rPr>
          <w:rFonts w:cs="Arial"/>
          <w:szCs w:val="18"/>
          <w:lang w:val="en-US"/>
        </w:rPr>
        <w:t xml:space="preserve"> g </w:t>
      </w:r>
      <w:r>
        <w:rPr>
          <w:rFonts w:cs="Arial"/>
          <w:szCs w:val="18"/>
          <w:lang w:val="en-US"/>
        </w:rPr>
        <w:t>of d</w:t>
      </w:r>
      <w:r w:rsidR="00CD03A8">
        <w:rPr>
          <w:rFonts w:cs="Arial"/>
          <w:szCs w:val="18"/>
          <w:lang w:val="en-US"/>
        </w:rPr>
        <w:t>eionized</w:t>
      </w:r>
      <w:r>
        <w:rPr>
          <w:rFonts w:cs="Arial"/>
          <w:szCs w:val="18"/>
          <w:lang w:val="en-US"/>
        </w:rPr>
        <w:t xml:space="preserve"> water (D</w:t>
      </w:r>
      <w:r w:rsidR="00CD03A8">
        <w:rPr>
          <w:rFonts w:cs="Arial"/>
          <w:szCs w:val="18"/>
          <w:lang w:val="en-US"/>
        </w:rPr>
        <w:t>W</w:t>
      </w:r>
      <w:r>
        <w:rPr>
          <w:rFonts w:cs="Arial"/>
          <w:szCs w:val="18"/>
          <w:lang w:val="en-US"/>
        </w:rPr>
        <w:t>)</w:t>
      </w:r>
      <w:r w:rsidR="00621DB3">
        <w:rPr>
          <w:rFonts w:cs="Arial"/>
          <w:szCs w:val="18"/>
          <w:lang w:val="en-US"/>
        </w:rPr>
        <w:t>, in order to achieve a biomass to water ration (B/M) of about 0.1</w:t>
      </w:r>
      <w:r>
        <w:rPr>
          <w:rFonts w:cs="Arial"/>
          <w:szCs w:val="18"/>
          <w:lang w:val="en-US"/>
        </w:rPr>
        <w:t xml:space="preserve">. </w:t>
      </w:r>
      <w:r w:rsidRPr="00E64DB9">
        <w:rPr>
          <w:rFonts w:cs="Arial"/>
          <w:szCs w:val="18"/>
          <w:lang w:val="en-US"/>
        </w:rPr>
        <w:t>After the reactor</w:t>
      </w:r>
      <w:r w:rsidR="00621DB3">
        <w:rPr>
          <w:rFonts w:cs="Arial"/>
          <w:szCs w:val="18"/>
          <w:lang w:val="en-US"/>
        </w:rPr>
        <w:t xml:space="preserve"> was filled with the feedstock and D</w:t>
      </w:r>
      <w:r w:rsidR="00CD03A8">
        <w:rPr>
          <w:rFonts w:cs="Arial"/>
          <w:szCs w:val="18"/>
          <w:lang w:val="en-US"/>
        </w:rPr>
        <w:t>W</w:t>
      </w:r>
      <w:r w:rsidR="00621DB3">
        <w:rPr>
          <w:rFonts w:cs="Arial"/>
          <w:szCs w:val="18"/>
          <w:lang w:val="en-US"/>
        </w:rPr>
        <w:t xml:space="preserve"> it </w:t>
      </w:r>
      <w:r w:rsidR="00CD03A8">
        <w:rPr>
          <w:rFonts w:cs="Arial"/>
          <w:szCs w:val="18"/>
          <w:lang w:val="en-US"/>
        </w:rPr>
        <w:t xml:space="preserve">was </w:t>
      </w:r>
      <w:r w:rsidRPr="00E64DB9">
        <w:rPr>
          <w:rFonts w:cs="Arial"/>
          <w:szCs w:val="18"/>
          <w:lang w:val="en-US"/>
        </w:rPr>
        <w:t>seal</w:t>
      </w:r>
      <w:r w:rsidR="00621DB3">
        <w:rPr>
          <w:rFonts w:cs="Arial"/>
          <w:szCs w:val="18"/>
          <w:lang w:val="en-US"/>
        </w:rPr>
        <w:t>ed</w:t>
      </w:r>
      <w:r w:rsidRPr="00E64DB9">
        <w:rPr>
          <w:rFonts w:cs="Arial"/>
          <w:szCs w:val="18"/>
          <w:lang w:val="en-US"/>
        </w:rPr>
        <w:t xml:space="preserve">, evacuated </w:t>
      </w:r>
      <w:r w:rsidR="00621DB3">
        <w:rPr>
          <w:rFonts w:cs="Arial"/>
          <w:szCs w:val="18"/>
          <w:lang w:val="en-US"/>
        </w:rPr>
        <w:t>and</w:t>
      </w:r>
      <w:r w:rsidRPr="00E64DB9">
        <w:rPr>
          <w:rFonts w:cs="Arial"/>
          <w:szCs w:val="18"/>
          <w:lang w:val="en-US"/>
        </w:rPr>
        <w:t xml:space="preserve"> flush</w:t>
      </w:r>
      <w:r w:rsidR="00CD03A8">
        <w:rPr>
          <w:rFonts w:cs="Arial"/>
          <w:szCs w:val="18"/>
          <w:lang w:val="en-US"/>
        </w:rPr>
        <w:t>ed</w:t>
      </w:r>
      <w:r w:rsidRPr="00E64DB9">
        <w:rPr>
          <w:rFonts w:cs="Arial"/>
          <w:szCs w:val="18"/>
          <w:lang w:val="en-US"/>
        </w:rPr>
        <w:t xml:space="preserve"> </w:t>
      </w:r>
      <w:r w:rsidR="00CD03A8">
        <w:rPr>
          <w:rFonts w:cs="Arial"/>
          <w:szCs w:val="18"/>
          <w:lang w:val="en-US"/>
        </w:rPr>
        <w:t xml:space="preserve">three times </w:t>
      </w:r>
      <w:r w:rsidRPr="00E64DB9">
        <w:rPr>
          <w:rFonts w:cs="Arial"/>
          <w:szCs w:val="18"/>
          <w:lang w:val="en-US"/>
        </w:rPr>
        <w:t>with pure nitrogen to remove residual traces of oxygen</w:t>
      </w:r>
      <w:r w:rsidR="00621DB3">
        <w:rPr>
          <w:rFonts w:cs="Arial"/>
          <w:szCs w:val="18"/>
          <w:lang w:val="en-US"/>
        </w:rPr>
        <w:t>. Once purged</w:t>
      </w:r>
      <w:r w:rsidR="00CD03A8">
        <w:rPr>
          <w:rFonts w:cs="Arial"/>
          <w:szCs w:val="18"/>
          <w:lang w:val="en-US"/>
        </w:rPr>
        <w:t>,</w:t>
      </w:r>
      <w:r w:rsidR="00621DB3">
        <w:rPr>
          <w:rFonts w:cs="Arial"/>
          <w:szCs w:val="18"/>
          <w:lang w:val="en-US"/>
        </w:rPr>
        <w:t xml:space="preserve"> the reactor was</w:t>
      </w:r>
      <w:r w:rsidRPr="00E64DB9">
        <w:rPr>
          <w:rFonts w:cs="Arial"/>
          <w:szCs w:val="18"/>
          <w:lang w:val="en-US"/>
        </w:rPr>
        <w:t xml:space="preserve"> heated up to the selected temperature and kept isothermal for the prefixed reaction time (the heating step lasted for </w:t>
      </w:r>
      <w:r w:rsidR="00CD03A8">
        <w:rPr>
          <w:rFonts w:cs="Arial"/>
          <w:szCs w:val="18"/>
          <w:lang w:val="en-US"/>
        </w:rPr>
        <w:t>25</w:t>
      </w:r>
      <w:r w:rsidRPr="00E64DB9">
        <w:rPr>
          <w:rFonts w:cs="Arial"/>
          <w:szCs w:val="18"/>
          <w:lang w:val="en-US"/>
        </w:rPr>
        <w:t>-</w:t>
      </w:r>
      <w:r w:rsidR="00621DB3">
        <w:rPr>
          <w:rFonts w:cs="Arial"/>
          <w:szCs w:val="18"/>
          <w:lang w:val="en-US"/>
        </w:rPr>
        <w:t>40</w:t>
      </w:r>
      <w:r w:rsidRPr="00E64DB9">
        <w:rPr>
          <w:rFonts w:cs="Arial"/>
          <w:szCs w:val="18"/>
          <w:lang w:val="en-US"/>
        </w:rPr>
        <w:t xml:space="preserve"> min according to the temperature set point). </w:t>
      </w:r>
      <w:r w:rsidR="00CD03A8">
        <w:rPr>
          <w:rFonts w:cs="Arial"/>
          <w:szCs w:val="18"/>
          <w:lang w:val="en-US"/>
        </w:rPr>
        <w:t>Reaction temperatures and corresponding reaction pressures were</w:t>
      </w:r>
      <w:r w:rsidR="006458B2">
        <w:rPr>
          <w:rFonts w:cs="Arial"/>
          <w:szCs w:val="18"/>
          <w:lang w:val="en-US"/>
        </w:rPr>
        <w:t>:</w:t>
      </w:r>
      <w:r w:rsidR="00CD03A8">
        <w:rPr>
          <w:rFonts w:cs="Arial"/>
          <w:szCs w:val="18"/>
          <w:lang w:val="en-US"/>
        </w:rPr>
        <w:t xml:space="preserve"> 200</w:t>
      </w:r>
      <w:r w:rsidR="006458B2">
        <w:rPr>
          <w:rFonts w:cs="Arial"/>
          <w:szCs w:val="18"/>
          <w:lang w:val="en-US"/>
        </w:rPr>
        <w:t xml:space="preserve"> °C – 1</w:t>
      </w:r>
      <w:r w:rsidR="00F0265A">
        <w:rPr>
          <w:rFonts w:cs="Arial"/>
          <w:szCs w:val="18"/>
          <w:lang w:val="en-US"/>
        </w:rPr>
        <w:t>6</w:t>
      </w:r>
      <w:r w:rsidR="006458B2">
        <w:rPr>
          <w:rFonts w:cs="Arial"/>
          <w:szCs w:val="18"/>
          <w:lang w:val="en-US"/>
        </w:rPr>
        <w:t xml:space="preserve"> bar,</w:t>
      </w:r>
      <w:r w:rsidR="00CD03A8">
        <w:rPr>
          <w:rFonts w:cs="Arial"/>
          <w:szCs w:val="18"/>
          <w:lang w:val="en-US"/>
        </w:rPr>
        <w:t xml:space="preserve"> </w:t>
      </w:r>
      <w:r w:rsidR="006458B2">
        <w:rPr>
          <w:rFonts w:cs="Arial"/>
          <w:szCs w:val="18"/>
          <w:lang w:val="en-US"/>
        </w:rPr>
        <w:t>2</w:t>
      </w:r>
      <w:r w:rsidR="0001713F">
        <w:rPr>
          <w:rFonts w:cs="Arial"/>
          <w:szCs w:val="18"/>
          <w:lang w:val="en-US"/>
        </w:rPr>
        <w:t>3</w:t>
      </w:r>
      <w:r w:rsidR="006458B2">
        <w:rPr>
          <w:rFonts w:cs="Arial"/>
          <w:szCs w:val="18"/>
          <w:lang w:val="en-US"/>
        </w:rPr>
        <w:t xml:space="preserve">0 °C </w:t>
      </w:r>
      <w:r w:rsidR="00F0265A">
        <w:rPr>
          <w:rFonts w:cs="Arial"/>
          <w:szCs w:val="18"/>
          <w:lang w:val="en-US"/>
        </w:rPr>
        <w:t xml:space="preserve">- </w:t>
      </w:r>
      <w:r w:rsidR="006458B2">
        <w:rPr>
          <w:rFonts w:cs="Arial"/>
          <w:szCs w:val="18"/>
          <w:lang w:val="en-US"/>
        </w:rPr>
        <w:t>2</w:t>
      </w:r>
      <w:r w:rsidR="00F0265A">
        <w:rPr>
          <w:rFonts w:cs="Arial"/>
          <w:szCs w:val="18"/>
          <w:lang w:val="en-US"/>
        </w:rPr>
        <w:t>8</w:t>
      </w:r>
      <w:r w:rsidR="006458B2">
        <w:rPr>
          <w:rFonts w:cs="Arial"/>
          <w:szCs w:val="18"/>
          <w:lang w:val="en-US"/>
        </w:rPr>
        <w:t xml:space="preserve"> bar, 250 °C </w:t>
      </w:r>
      <w:r w:rsidR="00F0265A">
        <w:rPr>
          <w:rFonts w:cs="Arial"/>
          <w:szCs w:val="18"/>
          <w:lang w:val="en-US"/>
        </w:rPr>
        <w:t xml:space="preserve">- </w:t>
      </w:r>
      <w:r w:rsidR="006458B2">
        <w:rPr>
          <w:rFonts w:cs="Arial"/>
          <w:szCs w:val="18"/>
          <w:lang w:val="en-US"/>
        </w:rPr>
        <w:t xml:space="preserve">40 bar </w:t>
      </w:r>
      <w:r w:rsidR="00CD03A8">
        <w:rPr>
          <w:rFonts w:cs="Arial"/>
          <w:szCs w:val="18"/>
          <w:lang w:val="en-US"/>
        </w:rPr>
        <w:t>and 280 °C</w:t>
      </w:r>
      <w:r w:rsidR="006458B2">
        <w:rPr>
          <w:rFonts w:cs="Arial"/>
          <w:szCs w:val="18"/>
          <w:lang w:val="en-US"/>
        </w:rPr>
        <w:t xml:space="preserve"> – 60 bar</w:t>
      </w:r>
      <w:r w:rsidR="00CD03A8">
        <w:rPr>
          <w:rFonts w:cs="Arial"/>
          <w:szCs w:val="18"/>
          <w:lang w:val="en-US"/>
        </w:rPr>
        <w:t xml:space="preserve">. </w:t>
      </w:r>
      <w:r w:rsidRPr="00E64DB9">
        <w:rPr>
          <w:rFonts w:cs="Arial"/>
          <w:szCs w:val="18"/>
          <w:lang w:val="en-US"/>
        </w:rPr>
        <w:t xml:space="preserve">When the </w:t>
      </w:r>
      <w:r w:rsidR="00621DB3">
        <w:rPr>
          <w:rFonts w:cs="Arial"/>
          <w:szCs w:val="18"/>
          <w:lang w:val="en-US"/>
        </w:rPr>
        <w:t>reaction time</w:t>
      </w:r>
      <w:r w:rsidRPr="00E64DB9">
        <w:rPr>
          <w:rFonts w:cs="Arial"/>
          <w:szCs w:val="18"/>
          <w:lang w:val="en-US"/>
        </w:rPr>
        <w:t xml:space="preserve"> was </w:t>
      </w:r>
      <w:r w:rsidR="00621DB3">
        <w:rPr>
          <w:rFonts w:cs="Arial"/>
          <w:szCs w:val="18"/>
          <w:lang w:val="en-US"/>
        </w:rPr>
        <w:t>passed</w:t>
      </w:r>
      <w:r w:rsidRPr="00E64DB9">
        <w:rPr>
          <w:rFonts w:cs="Arial"/>
          <w:szCs w:val="18"/>
          <w:lang w:val="en-US"/>
        </w:rPr>
        <w:t xml:space="preserve">, the reactor was rapidly cooled down to room temperature by using </w:t>
      </w:r>
      <w:r w:rsidR="00621DB3">
        <w:rPr>
          <w:rFonts w:cs="Arial"/>
          <w:szCs w:val="18"/>
          <w:lang w:val="en-US"/>
        </w:rPr>
        <w:t xml:space="preserve">chilled (20 °C) </w:t>
      </w:r>
      <w:r w:rsidRPr="00E64DB9">
        <w:rPr>
          <w:rFonts w:cs="Arial"/>
          <w:szCs w:val="18"/>
          <w:lang w:val="en-US"/>
        </w:rPr>
        <w:t>water</w:t>
      </w:r>
      <w:r w:rsidR="00621DB3">
        <w:rPr>
          <w:rFonts w:cs="Arial"/>
          <w:szCs w:val="18"/>
          <w:lang w:val="en-US"/>
        </w:rPr>
        <w:t xml:space="preserve"> flowing through a chilling coil inside the reactor body</w:t>
      </w:r>
      <w:r w:rsidRPr="00E64DB9">
        <w:rPr>
          <w:rFonts w:cs="Arial"/>
          <w:szCs w:val="18"/>
          <w:lang w:val="en-US"/>
        </w:rPr>
        <w:t>. Before opening</w:t>
      </w:r>
      <w:r w:rsidR="00621DB3" w:rsidRPr="00621DB3">
        <w:rPr>
          <w:rFonts w:cs="Arial"/>
          <w:szCs w:val="18"/>
          <w:lang w:val="en-US"/>
        </w:rPr>
        <w:t xml:space="preserve"> </w:t>
      </w:r>
      <w:r w:rsidR="00621DB3" w:rsidRPr="00E64DB9">
        <w:rPr>
          <w:rFonts w:cs="Arial"/>
          <w:szCs w:val="18"/>
          <w:lang w:val="en-US"/>
        </w:rPr>
        <w:t>the reactor</w:t>
      </w:r>
      <w:r w:rsidRPr="00E64DB9">
        <w:rPr>
          <w:rFonts w:cs="Arial"/>
          <w:szCs w:val="18"/>
          <w:lang w:val="en-US"/>
        </w:rPr>
        <w:t>, the gaseous phase produced was flowed through an outlet valve into a graduated cylinder filled with water, and its mass evaluated applying the ideal gas law, assuming atmospheric pressure, temperature of 30 °C and CO</w:t>
      </w:r>
      <w:r w:rsidRPr="00621DB3">
        <w:rPr>
          <w:rFonts w:cs="Arial"/>
          <w:szCs w:val="18"/>
          <w:vertAlign w:val="subscript"/>
          <w:lang w:val="en-US"/>
        </w:rPr>
        <w:t>2</w:t>
      </w:r>
      <w:r w:rsidRPr="00E64DB9">
        <w:rPr>
          <w:rFonts w:cs="Arial"/>
          <w:szCs w:val="18"/>
          <w:lang w:val="en-US"/>
        </w:rPr>
        <w:t xml:space="preserve"> as the sole gaseous product.</w:t>
      </w:r>
      <w:r w:rsidRPr="00E64DB9" w:rsidDel="00E424ED">
        <w:rPr>
          <w:rFonts w:cs="Arial"/>
          <w:szCs w:val="18"/>
          <w:lang w:val="en-US"/>
        </w:rPr>
        <w:t xml:space="preserve"> </w:t>
      </w:r>
      <w:r w:rsidR="00621DB3">
        <w:rPr>
          <w:rFonts w:cs="Arial"/>
          <w:szCs w:val="18"/>
          <w:lang w:val="en-US"/>
        </w:rPr>
        <w:t xml:space="preserve">It is well established in the HTC literature that </w:t>
      </w:r>
      <w:r w:rsidR="00621DB3" w:rsidRPr="00E64DB9">
        <w:rPr>
          <w:rFonts w:cs="Arial"/>
          <w:szCs w:val="18"/>
          <w:lang w:val="en-US"/>
        </w:rPr>
        <w:t>CO</w:t>
      </w:r>
      <w:r w:rsidR="00621DB3" w:rsidRPr="00621DB3">
        <w:rPr>
          <w:rFonts w:cs="Arial"/>
          <w:szCs w:val="18"/>
          <w:vertAlign w:val="subscript"/>
          <w:lang w:val="en-US"/>
        </w:rPr>
        <w:t>2</w:t>
      </w:r>
      <w:r w:rsidR="00621DB3" w:rsidRPr="00E64DB9">
        <w:rPr>
          <w:rFonts w:cs="Arial"/>
          <w:szCs w:val="18"/>
          <w:lang w:val="en-US"/>
        </w:rPr>
        <w:t xml:space="preserve"> </w:t>
      </w:r>
      <w:r w:rsidR="00621DB3">
        <w:rPr>
          <w:rFonts w:cs="Arial"/>
          <w:szCs w:val="18"/>
          <w:lang w:val="en-US"/>
        </w:rPr>
        <w:t xml:space="preserve">is the prevalent gas product (often above 90 wt%) accompanied by small amounts of CO and light hydrocarbons </w:t>
      </w:r>
      <w:r w:rsidR="005E4F4F">
        <w:rPr>
          <w:rFonts w:cs="Arial"/>
          <w:szCs w:val="18"/>
          <w:lang w:val="en-US"/>
        </w:rPr>
        <w:t>(</w:t>
      </w:r>
      <w:proofErr w:type="spellStart"/>
      <w:r w:rsidR="005E4F4F">
        <w:rPr>
          <w:rFonts w:cs="Arial"/>
          <w:szCs w:val="18"/>
          <w:lang w:val="en-US"/>
        </w:rPr>
        <w:t>Hitzl</w:t>
      </w:r>
      <w:proofErr w:type="spellEnd"/>
      <w:r w:rsidR="00650D14">
        <w:rPr>
          <w:rFonts w:cs="Arial"/>
          <w:szCs w:val="18"/>
          <w:lang w:val="en-US"/>
        </w:rPr>
        <w:t xml:space="preserve"> et al.</w:t>
      </w:r>
      <w:r w:rsidR="005E4F4F">
        <w:rPr>
          <w:rFonts w:cs="Arial"/>
          <w:szCs w:val="18"/>
          <w:lang w:val="en-US"/>
        </w:rPr>
        <w:t xml:space="preserve">, </w:t>
      </w:r>
      <w:r w:rsidR="00A61360">
        <w:rPr>
          <w:rFonts w:cs="Arial"/>
          <w:szCs w:val="18"/>
          <w:lang w:val="en-US"/>
        </w:rPr>
        <w:t>20</w:t>
      </w:r>
      <w:r w:rsidR="00E0515A">
        <w:rPr>
          <w:rFonts w:cs="Arial"/>
          <w:szCs w:val="18"/>
          <w:lang w:val="en-US"/>
        </w:rPr>
        <w:t>1</w:t>
      </w:r>
      <w:r w:rsidR="00A61360">
        <w:rPr>
          <w:rFonts w:cs="Arial"/>
          <w:szCs w:val="18"/>
          <w:lang w:val="en-US"/>
        </w:rPr>
        <w:t>5</w:t>
      </w:r>
      <w:r w:rsidR="005E4F4F">
        <w:rPr>
          <w:rFonts w:cs="Arial"/>
          <w:szCs w:val="18"/>
          <w:lang w:val="en-US"/>
        </w:rPr>
        <w:t>)</w:t>
      </w:r>
      <w:r w:rsidRPr="00E64DB9">
        <w:rPr>
          <w:rFonts w:cs="Arial"/>
          <w:szCs w:val="18"/>
          <w:lang w:val="en-US"/>
        </w:rPr>
        <w:t>. The solid-liquid reaction mixture was separated through a vacuum filtration unit and a pre-weighed cellulose filter. The solid fraction</w:t>
      </w:r>
      <w:r w:rsidR="005E4F4F">
        <w:rPr>
          <w:rFonts w:cs="Arial"/>
          <w:szCs w:val="18"/>
          <w:lang w:val="en-US"/>
        </w:rPr>
        <w:t xml:space="preserve"> in the filter was washed few times with D</w:t>
      </w:r>
      <w:r w:rsidR="00CD03A8">
        <w:rPr>
          <w:rFonts w:cs="Arial"/>
          <w:szCs w:val="18"/>
          <w:lang w:val="en-US"/>
        </w:rPr>
        <w:t>W</w:t>
      </w:r>
      <w:r w:rsidR="005E4F4F">
        <w:rPr>
          <w:rFonts w:cs="Arial"/>
          <w:szCs w:val="18"/>
          <w:lang w:val="en-US"/>
        </w:rPr>
        <w:t xml:space="preserve"> to remove the mother liquors and </w:t>
      </w:r>
      <w:r w:rsidR="00CD03A8">
        <w:rPr>
          <w:rFonts w:cs="Arial"/>
          <w:szCs w:val="18"/>
          <w:lang w:val="en-US"/>
        </w:rPr>
        <w:t>the solid residue</w:t>
      </w:r>
      <w:r w:rsidRPr="00E64DB9">
        <w:rPr>
          <w:rFonts w:cs="Arial"/>
          <w:szCs w:val="18"/>
          <w:lang w:val="en-US"/>
        </w:rPr>
        <w:t xml:space="preserve"> dried </w:t>
      </w:r>
      <w:r w:rsidR="00F0265A">
        <w:rPr>
          <w:rFonts w:cs="Arial"/>
          <w:szCs w:val="18"/>
          <w:lang w:val="en-US"/>
        </w:rPr>
        <w:t>in a ventilated oven</w:t>
      </w:r>
      <w:r w:rsidR="00F0265A" w:rsidRPr="00E64DB9">
        <w:rPr>
          <w:rFonts w:cs="Arial"/>
          <w:szCs w:val="18"/>
          <w:lang w:val="en-US"/>
        </w:rPr>
        <w:t xml:space="preserve"> </w:t>
      </w:r>
      <w:r w:rsidRPr="00E64DB9">
        <w:rPr>
          <w:rFonts w:cs="Arial"/>
          <w:szCs w:val="18"/>
          <w:lang w:val="en-US"/>
        </w:rPr>
        <w:t xml:space="preserve">at </w:t>
      </w:r>
      <w:r w:rsidR="005E4F4F">
        <w:rPr>
          <w:rFonts w:cs="Arial"/>
          <w:szCs w:val="18"/>
          <w:lang w:val="en-US"/>
        </w:rPr>
        <w:t>5</w:t>
      </w:r>
      <w:r w:rsidRPr="00E64DB9">
        <w:rPr>
          <w:rFonts w:cs="Arial"/>
          <w:szCs w:val="18"/>
          <w:lang w:val="en-US"/>
        </w:rPr>
        <w:t>5 °C until constant weight</w:t>
      </w:r>
      <w:r w:rsidRPr="00AF61A7">
        <w:rPr>
          <w:rFonts w:cs="Arial"/>
          <w:szCs w:val="18"/>
          <w:lang w:val="en-US"/>
        </w:rPr>
        <w:t>.</w:t>
      </w:r>
    </w:p>
    <w:p w14:paraId="22F180DD" w14:textId="37EAC215" w:rsidR="00617241" w:rsidRDefault="00617241" w:rsidP="00D252BC">
      <w:pPr>
        <w:pStyle w:val="CETheadingx"/>
      </w:pPr>
      <w:r>
        <w:t>Biocomposites Formulation</w:t>
      </w:r>
    </w:p>
    <w:p w14:paraId="4E07F93D" w14:textId="7041CDF4" w:rsidR="00617241" w:rsidRPr="009C32FA" w:rsidRDefault="007B1992" w:rsidP="009C32FA">
      <w:pPr>
        <w:pStyle w:val="CETBodytext"/>
      </w:pPr>
      <w:r>
        <w:t>Between the four different hydrochars, three of them</w:t>
      </w:r>
      <w:r w:rsidR="009C32FA">
        <w:t>, HC</w:t>
      </w:r>
      <w:r w:rsidR="009C32FA" w:rsidRPr="009C32FA">
        <w:rPr>
          <w:vertAlign w:val="subscript"/>
        </w:rPr>
        <w:t>CF</w:t>
      </w:r>
      <w:r w:rsidR="009C32FA" w:rsidRPr="00D7106E">
        <w:t>2</w:t>
      </w:r>
      <w:r w:rsidR="009C32FA">
        <w:t>00, HC</w:t>
      </w:r>
      <w:r w:rsidR="009C32FA" w:rsidRPr="009C32FA">
        <w:rPr>
          <w:vertAlign w:val="subscript"/>
        </w:rPr>
        <w:t>CF</w:t>
      </w:r>
      <w:r w:rsidR="009C32FA">
        <w:t>250 and HC</w:t>
      </w:r>
      <w:r w:rsidR="009C32FA" w:rsidRPr="009C32FA">
        <w:rPr>
          <w:vertAlign w:val="subscript"/>
        </w:rPr>
        <w:t>CF</w:t>
      </w:r>
      <w:r w:rsidR="009C32FA">
        <w:t>280,</w:t>
      </w:r>
      <w:r>
        <w:t xml:space="preserve"> were selected for biocomposites formulation</w:t>
      </w:r>
      <w:r w:rsidR="009C32FA">
        <w:t xml:space="preserve">. </w:t>
      </w:r>
      <w:r w:rsidR="00617241">
        <w:t xml:space="preserve">The residual hydrochar from these three different conditions were milled at the same process condition by means of a mechanical pestle and mortar in order to achieve </w:t>
      </w:r>
      <w:r w:rsidR="006A23FC">
        <w:t>dimensions</w:t>
      </w:r>
      <w:r w:rsidR="00617241">
        <w:t xml:space="preserve"> lower than 100 </w:t>
      </w:r>
      <w:r w:rsidR="009C32FA">
        <w:rPr>
          <w:rFonts w:cs="Arial"/>
        </w:rPr>
        <w:t>µ</w:t>
      </w:r>
      <w:r w:rsidR="009C32FA">
        <w:t>m</w:t>
      </w:r>
      <w:r w:rsidR="00617241">
        <w:t xml:space="preserve">.  </w:t>
      </w:r>
      <w:r w:rsidR="00617241" w:rsidRPr="00D7106E">
        <w:t>The bio-composite formulation was carried out by means of a Brabender mixer at 1</w:t>
      </w:r>
      <w:r w:rsidR="00617241">
        <w:t>6</w:t>
      </w:r>
      <w:r w:rsidR="00617241" w:rsidRPr="00D7106E">
        <w:t>0</w:t>
      </w:r>
      <w:r w:rsidR="009C32FA">
        <w:t xml:space="preserve"> </w:t>
      </w:r>
      <w:r w:rsidR="00617241" w:rsidRPr="00D7106E">
        <w:t xml:space="preserve">°C, with a mixing speed of </w:t>
      </w:r>
      <w:r w:rsidR="00617241">
        <w:t>6</w:t>
      </w:r>
      <w:r w:rsidR="00617241" w:rsidRPr="00D7106E">
        <w:t xml:space="preserve">0 rpm for 5 mins. </w:t>
      </w:r>
      <w:r w:rsidR="00617241" w:rsidRPr="002A6CC5">
        <w:t>Before compounding</w:t>
      </w:r>
      <w:r w:rsidR="009C32FA" w:rsidRPr="002A6CC5">
        <w:t>,</w:t>
      </w:r>
      <w:r w:rsidR="00617241" w:rsidRPr="002A6CC5">
        <w:t xml:space="preserve"> PBAT and </w:t>
      </w:r>
      <w:r w:rsidR="002A6CC5" w:rsidRPr="002A6CC5">
        <w:t>hydrochars</w:t>
      </w:r>
      <w:r w:rsidR="00617241" w:rsidRPr="002A6CC5">
        <w:t xml:space="preserve"> were dried</w:t>
      </w:r>
      <w:r w:rsidR="00617241" w:rsidRPr="00D7106E">
        <w:t xml:space="preserve"> at 60</w:t>
      </w:r>
      <w:r w:rsidR="009C32FA">
        <w:t xml:space="preserve"> </w:t>
      </w:r>
      <w:r w:rsidR="00617241" w:rsidRPr="00D7106E">
        <w:t xml:space="preserve">°C under vacuum to avoid hydrolysis during compounding. The </w:t>
      </w:r>
      <w:r w:rsidR="00617241">
        <w:t>HC</w:t>
      </w:r>
      <w:r w:rsidR="009C32FA" w:rsidRPr="009C32FA">
        <w:rPr>
          <w:vertAlign w:val="subscript"/>
        </w:rPr>
        <w:t>CF</w:t>
      </w:r>
      <w:r w:rsidR="00617241" w:rsidRPr="00D7106E">
        <w:t>2</w:t>
      </w:r>
      <w:r w:rsidR="009C32FA">
        <w:t>00</w:t>
      </w:r>
      <w:r w:rsidR="00617241">
        <w:t>, HC</w:t>
      </w:r>
      <w:r w:rsidR="009C32FA" w:rsidRPr="009C32FA">
        <w:rPr>
          <w:vertAlign w:val="subscript"/>
        </w:rPr>
        <w:t>CF</w:t>
      </w:r>
      <w:r w:rsidR="00617241">
        <w:t>250 and HC</w:t>
      </w:r>
      <w:r w:rsidR="009C32FA" w:rsidRPr="009C32FA">
        <w:rPr>
          <w:vertAlign w:val="subscript"/>
        </w:rPr>
        <w:t>CF</w:t>
      </w:r>
      <w:r w:rsidR="00617241">
        <w:t>280</w:t>
      </w:r>
      <w:r w:rsidR="009C32FA">
        <w:t xml:space="preserve"> were added</w:t>
      </w:r>
      <w:r w:rsidR="00617241" w:rsidRPr="00D7106E">
        <w:t xml:space="preserve"> at </w:t>
      </w:r>
      <w:r w:rsidR="00D070B0">
        <w:t xml:space="preserve">a concentration of </w:t>
      </w:r>
      <w:r w:rsidR="00617241" w:rsidRPr="00D7106E">
        <w:t>10</w:t>
      </w:r>
      <w:r w:rsidR="00617241">
        <w:t xml:space="preserve"> </w:t>
      </w:r>
      <w:proofErr w:type="spellStart"/>
      <w:r w:rsidR="00617241">
        <w:t>wt</w:t>
      </w:r>
      <w:proofErr w:type="spellEnd"/>
      <w:r w:rsidR="00617241">
        <w:t>%</w:t>
      </w:r>
      <w:r w:rsidR="00617241" w:rsidRPr="00D7106E">
        <w:t xml:space="preserve"> </w:t>
      </w:r>
      <w:r w:rsidR="00617241">
        <w:t>into PBAT matrix</w:t>
      </w:r>
      <w:r w:rsidR="009C32FA">
        <w:t xml:space="preserve"> and the obtained mixtures were</w:t>
      </w:r>
      <w:r w:rsidR="00617241" w:rsidRPr="00D7106E">
        <w:t xml:space="preserve"> pelletized. In addition, the neat PBAT has been subjected to the same processing condition in order to be comparable with the composites. After 24</w:t>
      </w:r>
      <w:r w:rsidR="009C32FA">
        <w:t xml:space="preserve"> </w:t>
      </w:r>
      <w:r w:rsidR="00617241" w:rsidRPr="00D7106E">
        <w:t>h</w:t>
      </w:r>
      <w:r w:rsidR="009C32FA">
        <w:t xml:space="preserve"> </w:t>
      </w:r>
      <w:r w:rsidR="00617241" w:rsidRPr="00D7106E">
        <w:t>of drying in an under vacuum oven at 60</w:t>
      </w:r>
      <w:r w:rsidR="009C32FA">
        <w:t xml:space="preserve"> </w:t>
      </w:r>
      <w:r w:rsidR="00617241" w:rsidRPr="00D7106E">
        <w:t xml:space="preserve">°C, to avoid </w:t>
      </w:r>
      <w:r w:rsidR="006A23FC">
        <w:t xml:space="preserve">the </w:t>
      </w:r>
      <w:r w:rsidR="00617241" w:rsidRPr="00D7106E">
        <w:t xml:space="preserve">hydrolysis process, thin films (thickness of about 200 </w:t>
      </w:r>
      <w:proofErr w:type="spellStart"/>
      <w:r w:rsidR="00617241" w:rsidRPr="00D7106E">
        <w:t>μm</w:t>
      </w:r>
      <w:proofErr w:type="spellEnd"/>
      <w:r w:rsidR="00617241" w:rsidRPr="00D7106E">
        <w:t xml:space="preserve">) of neat PBAT and of all composites have been obtained through compression </w:t>
      </w:r>
      <w:r w:rsidR="006A23FC">
        <w:t>moulding</w:t>
      </w:r>
      <w:r w:rsidR="00617241" w:rsidRPr="00D7106E">
        <w:t xml:space="preserve"> by means of Carver Laboratory Press at a pressure of </w:t>
      </w:r>
      <w:r w:rsidR="00617241">
        <w:t>1</w:t>
      </w:r>
      <w:r w:rsidR="00617241" w:rsidRPr="00D7106E">
        <w:t xml:space="preserve">500 psi </w:t>
      </w:r>
      <w:r w:rsidR="009C32FA">
        <w:t xml:space="preserve">(approximately 103 bar) </w:t>
      </w:r>
      <w:r w:rsidR="00617241" w:rsidRPr="00D7106E">
        <w:t>for 5 mins at 1</w:t>
      </w:r>
      <w:r w:rsidR="00617241">
        <w:t>6</w:t>
      </w:r>
      <w:r w:rsidR="00617241" w:rsidRPr="00D7106E">
        <w:t>0 °C.</w:t>
      </w:r>
    </w:p>
    <w:p w14:paraId="3EF544D5" w14:textId="77777777" w:rsidR="00E64DB9" w:rsidRPr="00B57B36" w:rsidRDefault="00E64DB9" w:rsidP="00D252BC">
      <w:pPr>
        <w:pStyle w:val="CETheadingx"/>
      </w:pPr>
      <w:r>
        <w:t>Analytical characterization</w:t>
      </w:r>
    </w:p>
    <w:p w14:paraId="5C878FFF" w14:textId="224CC86C" w:rsidR="005E4F4F" w:rsidRPr="005E4F4F" w:rsidRDefault="005E4F4F" w:rsidP="005E4F4F">
      <w:pPr>
        <w:spacing w:line="240" w:lineRule="auto"/>
        <w:rPr>
          <w:rFonts w:cs="Arial"/>
          <w:szCs w:val="18"/>
          <w:lang w:val="en-US"/>
        </w:rPr>
      </w:pPr>
      <w:r w:rsidRPr="005E4F4F">
        <w:rPr>
          <w:rFonts w:cs="Arial"/>
          <w:szCs w:val="18"/>
          <w:lang w:val="en-US"/>
        </w:rPr>
        <w:t xml:space="preserve">Proximate and elemental analyses, as well as HHV determinations, were carried out in order to characterize raw </w:t>
      </w:r>
      <w:r>
        <w:rPr>
          <w:rFonts w:cs="Arial"/>
          <w:szCs w:val="18"/>
          <w:lang w:val="en-US"/>
        </w:rPr>
        <w:t>CF</w:t>
      </w:r>
      <w:r w:rsidRPr="005E4F4F">
        <w:rPr>
          <w:rFonts w:cs="Arial"/>
          <w:szCs w:val="18"/>
          <w:lang w:val="en-US"/>
        </w:rPr>
        <w:t xml:space="preserve"> and the </w:t>
      </w:r>
      <w:r>
        <w:rPr>
          <w:rFonts w:cs="Arial"/>
          <w:szCs w:val="18"/>
          <w:lang w:val="en-US"/>
        </w:rPr>
        <w:t xml:space="preserve">corresponding </w:t>
      </w:r>
      <w:r w:rsidRPr="005E4F4F">
        <w:rPr>
          <w:rFonts w:cs="Arial"/>
          <w:szCs w:val="18"/>
          <w:lang w:val="en-US"/>
        </w:rPr>
        <w:t>hydrochars. A LECO Thermogravimetric Analy</w:t>
      </w:r>
      <w:r w:rsidR="009C32FA">
        <w:rPr>
          <w:rFonts w:cs="Arial"/>
          <w:szCs w:val="18"/>
          <w:lang w:val="en-US"/>
        </w:rPr>
        <w:t>z</w:t>
      </w:r>
      <w:r w:rsidRPr="005E4F4F">
        <w:rPr>
          <w:rFonts w:cs="Arial"/>
          <w:szCs w:val="18"/>
          <w:lang w:val="en-US"/>
        </w:rPr>
        <w:t xml:space="preserve">er TGA 701 was used </w:t>
      </w:r>
      <w:r w:rsidR="00CD03A8">
        <w:rPr>
          <w:rFonts w:cs="Arial"/>
          <w:szCs w:val="18"/>
          <w:lang w:val="en-US"/>
        </w:rPr>
        <w:t xml:space="preserve">carry out proximate analysis and </w:t>
      </w:r>
      <w:r w:rsidRPr="005E4F4F">
        <w:rPr>
          <w:rFonts w:cs="Arial"/>
          <w:szCs w:val="18"/>
          <w:lang w:val="en-US"/>
        </w:rPr>
        <w:t>quantify volatile matter (VM), ashes (ash) and fixed carbon (FC)</w:t>
      </w:r>
      <w:r w:rsidR="00CD03A8">
        <w:rPr>
          <w:rFonts w:cs="Arial"/>
          <w:szCs w:val="18"/>
          <w:lang w:val="en-US"/>
        </w:rPr>
        <w:t xml:space="preserve">. Proximate analysis was carried </w:t>
      </w:r>
      <w:r w:rsidRPr="005E4F4F">
        <w:rPr>
          <w:rFonts w:cs="Arial"/>
          <w:szCs w:val="18"/>
          <w:lang w:val="en-US"/>
        </w:rPr>
        <w:t>as follows: 5 °C/min ramp to 105 °C in air, held until constant weight (&lt; ± 0.05%) to remove moisture; 16 °C/min ramp from 105 to 900 °C, hold time 7 min, in nitrogen to determine VM as the mass lost; natural cooling down to 500 °C in nitrogen; 30 °C/min ramp in air to 800 °C and isothermal until constant weight in to evaluate ash content as the remaining mass. FC was estimated by difference.</w:t>
      </w:r>
    </w:p>
    <w:p w14:paraId="57AC184E" w14:textId="76B18BAE" w:rsidR="005E4F4F" w:rsidRDefault="005E4F4F" w:rsidP="005E4F4F">
      <w:pPr>
        <w:spacing w:line="240" w:lineRule="auto"/>
        <w:rPr>
          <w:rFonts w:cs="Arial"/>
          <w:szCs w:val="18"/>
          <w:lang w:val="en-US"/>
        </w:rPr>
      </w:pPr>
      <w:r w:rsidRPr="005E4F4F">
        <w:rPr>
          <w:rFonts w:cs="Arial"/>
          <w:szCs w:val="18"/>
          <w:lang w:val="en-US"/>
        </w:rPr>
        <w:t xml:space="preserve">Elemental analysis was carried out in a </w:t>
      </w:r>
      <w:r>
        <w:rPr>
          <w:rFonts w:cs="Arial"/>
          <w:szCs w:val="18"/>
          <w:lang w:val="en-US"/>
        </w:rPr>
        <w:t>LECO CHN 828 series</w:t>
      </w:r>
      <w:r w:rsidRPr="005E4F4F">
        <w:rPr>
          <w:rFonts w:cs="Arial"/>
          <w:szCs w:val="18"/>
          <w:lang w:val="en-US"/>
        </w:rPr>
        <w:t xml:space="preserve"> Elemental Analyzer to determine carbon (C), hydrogen (H), nitrogen (N), content. A calorimeter LECO AC500 was used to measure HHVs according to the CEN/TS 14918 standard.</w:t>
      </w:r>
    </w:p>
    <w:p w14:paraId="46A75B56" w14:textId="77777777" w:rsidR="00617241" w:rsidRDefault="00617241" w:rsidP="00617241">
      <w:pPr>
        <w:spacing w:line="240" w:lineRule="auto"/>
        <w:rPr>
          <w:rFonts w:cs="Arial"/>
          <w:szCs w:val="18"/>
          <w:lang w:val="en-US"/>
        </w:rPr>
      </w:pPr>
      <w:r w:rsidRPr="00617241">
        <w:rPr>
          <w:rFonts w:cs="Arial"/>
          <w:szCs w:val="18"/>
          <w:lang w:val="en-US"/>
        </w:rPr>
        <w:lastRenderedPageBreak/>
        <w:t>Rheological tests were performed using a strain-controlled rheometer (mod. ARES G2 by TA Instrument, New Castle, DE, USA) in parallel plate geometry (plate diameter 25 mm). The complex viscosity (η*) and storage (G′) and loss (G″) moduli were measured performing frequency scans from ω=10</w:t>
      </w:r>
      <w:r w:rsidRPr="00617241">
        <w:rPr>
          <w:rFonts w:cs="Arial"/>
          <w:szCs w:val="18"/>
          <w:vertAlign w:val="superscript"/>
          <w:lang w:val="en-US"/>
        </w:rPr>
        <w:t>−2</w:t>
      </w:r>
      <w:r w:rsidRPr="00617241">
        <w:rPr>
          <w:rFonts w:cs="Arial"/>
          <w:szCs w:val="18"/>
          <w:lang w:val="en-US"/>
        </w:rPr>
        <w:t xml:space="preserve"> to 10</w:t>
      </w:r>
      <w:r w:rsidRPr="00617241">
        <w:rPr>
          <w:rFonts w:cs="Arial"/>
          <w:szCs w:val="18"/>
          <w:vertAlign w:val="superscript"/>
          <w:lang w:val="en-US"/>
        </w:rPr>
        <w:t>2</w:t>
      </w:r>
      <w:r w:rsidRPr="00617241">
        <w:rPr>
          <w:rFonts w:cs="Arial"/>
          <w:szCs w:val="18"/>
          <w:lang w:val="en-US"/>
        </w:rPr>
        <w:t xml:space="preserve"> rad/s at same processing temperatures. The strain amplitude was γ=5%, which preliminary strain sweep experiments proved to be low enough to be in the linear viscoelastic regime.</w:t>
      </w:r>
    </w:p>
    <w:p w14:paraId="42AF5EC0" w14:textId="4AB49B42" w:rsidR="00586476" w:rsidRPr="00617241" w:rsidRDefault="00586476" w:rsidP="00617241">
      <w:pPr>
        <w:spacing w:line="240" w:lineRule="auto"/>
        <w:rPr>
          <w:rFonts w:cs="Arial"/>
          <w:szCs w:val="18"/>
          <w:lang w:val="en-US"/>
        </w:rPr>
      </w:pPr>
      <w:r w:rsidRPr="00D131CC">
        <w:t>Tensile tests were carried out using a Universal Testing Machine (Instron model 3365, UK), following ASTM D</w:t>
      </w:r>
      <w:r>
        <w:t>638-14</w:t>
      </w:r>
      <w:r w:rsidRPr="00D131CC">
        <w:t xml:space="preserve"> method, on </w:t>
      </w:r>
      <w:r>
        <w:t xml:space="preserve">seven </w:t>
      </w:r>
      <w:r w:rsidRPr="00D131CC">
        <w:t xml:space="preserve">rectangular </w:t>
      </w:r>
      <w:r>
        <w:t xml:space="preserve">shaped </w:t>
      </w:r>
      <w:r w:rsidRPr="00D131CC">
        <w:t>samples. The tests were performed, using tensile speed at 1</w:t>
      </w:r>
      <w:r w:rsidRPr="00D131CC">
        <w:rPr>
          <w:rFonts w:ascii="Times New Roman" w:hAnsi="Times New Roman"/>
        </w:rPr>
        <w:t> </w:t>
      </w:r>
      <w:r w:rsidRPr="00D131CC">
        <w:t>mm/min for 1</w:t>
      </w:r>
      <w:r w:rsidRPr="00D131CC">
        <w:rPr>
          <w:rFonts w:ascii="Times New Roman" w:hAnsi="Times New Roman"/>
        </w:rPr>
        <w:t> </w:t>
      </w:r>
      <w:r w:rsidRPr="00D131CC">
        <w:t xml:space="preserve">min in order to evaluate the Young’s </w:t>
      </w:r>
      <w:r w:rsidR="00630756">
        <w:t>m</w:t>
      </w:r>
      <w:r w:rsidRPr="00D131CC">
        <w:t>odulus and then the velocity was increased to 10</w:t>
      </w:r>
      <w:r w:rsidRPr="00D131CC">
        <w:rPr>
          <w:rFonts w:ascii="Times New Roman" w:hAnsi="Times New Roman"/>
        </w:rPr>
        <w:t> </w:t>
      </w:r>
      <w:r w:rsidRPr="00D131CC">
        <w:t>mm/min until sample breakage. The average values for elongation at break</w:t>
      </w:r>
      <w:r w:rsidR="009C32FA">
        <w:t xml:space="preserve"> (</w:t>
      </w:r>
      <w:r w:rsidRPr="00D131CC">
        <w:t>EB</w:t>
      </w:r>
      <w:r w:rsidR="009C32FA">
        <w:t>)</w:t>
      </w:r>
      <w:r w:rsidRPr="00D131CC">
        <w:t>, for elastic modulus</w:t>
      </w:r>
      <w:r w:rsidR="009C32FA">
        <w:t xml:space="preserve"> (</w:t>
      </w:r>
      <w:r w:rsidRPr="00D131CC">
        <w:t>E</w:t>
      </w:r>
      <w:r w:rsidR="009C32FA">
        <w:t>)</w:t>
      </w:r>
      <w:r w:rsidRPr="00D131CC">
        <w:t>, and for tensile strength</w:t>
      </w:r>
      <w:r w:rsidR="009C32FA">
        <w:t xml:space="preserve"> (</w:t>
      </w:r>
      <w:r w:rsidRPr="00D131CC">
        <w:t>TS</w:t>
      </w:r>
      <w:r w:rsidR="009C32FA">
        <w:t>),</w:t>
      </w:r>
      <w:r w:rsidRPr="00D131CC">
        <w:t xml:space="preserve"> were calculated.</w:t>
      </w:r>
    </w:p>
    <w:p w14:paraId="5DB6BE17" w14:textId="77777777" w:rsidR="00617241" w:rsidRDefault="00617241" w:rsidP="005E4F4F">
      <w:pPr>
        <w:spacing w:line="240" w:lineRule="auto"/>
        <w:rPr>
          <w:rFonts w:cs="Arial"/>
          <w:szCs w:val="18"/>
          <w:lang w:val="en-US"/>
        </w:rPr>
      </w:pPr>
    </w:p>
    <w:p w14:paraId="784390B9" w14:textId="77777777" w:rsidR="00650D14" w:rsidRPr="00D252BC" w:rsidRDefault="00650D14" w:rsidP="00D252BC">
      <w:pPr>
        <w:pStyle w:val="CETheadingx"/>
      </w:pPr>
      <w:r w:rsidRPr="00D252BC">
        <w:t>Data analysis</w:t>
      </w:r>
    </w:p>
    <w:p w14:paraId="5313F062" w14:textId="57615C87" w:rsidR="00650D14" w:rsidRDefault="00650D14" w:rsidP="00650D14">
      <w:pPr>
        <w:pStyle w:val="CETBodytext"/>
      </w:pPr>
      <w:r>
        <w:t>The hydrochar mass yield (MY</w:t>
      </w:r>
      <w:r w:rsidRPr="00650D14">
        <w:rPr>
          <w:vertAlign w:val="subscript"/>
        </w:rPr>
        <w:t>HC</w:t>
      </w:r>
      <w:r w:rsidRPr="00C078AD">
        <w:t xml:space="preserve">) </w:t>
      </w:r>
      <w:r>
        <w:t>and gas mass yield (MY</w:t>
      </w:r>
      <w:r>
        <w:rPr>
          <w:vertAlign w:val="subscript"/>
        </w:rPr>
        <w:t>G</w:t>
      </w:r>
      <w:r w:rsidRPr="00C078AD">
        <w:t>)</w:t>
      </w:r>
      <w:r>
        <w:t xml:space="preserve"> were</w:t>
      </w:r>
      <w:r w:rsidRPr="00C078AD">
        <w:t xml:space="preserve"> </w:t>
      </w:r>
      <w:r>
        <w:t>evalu</w:t>
      </w:r>
      <w:r w:rsidRPr="00C078AD">
        <w:t>at</w:t>
      </w:r>
      <w:r>
        <w:t>ed through Eq (1) and (2) respectively</w:t>
      </w:r>
      <w:r w:rsidR="00D070B0">
        <w:t>,</w:t>
      </w:r>
      <w:r>
        <w:t xml:space="preserve"> while liquid mass yield (MY</w:t>
      </w:r>
      <w:r>
        <w:rPr>
          <w:vertAlign w:val="subscript"/>
        </w:rPr>
        <w:t>L</w:t>
      </w:r>
      <w:r w:rsidRPr="00C078AD">
        <w:t>)</w:t>
      </w:r>
      <w:r>
        <w:t xml:space="preserve"> </w:t>
      </w:r>
      <w:r w:rsidRPr="00C078AD">
        <w:t>was calculat</w:t>
      </w:r>
      <w:r>
        <w:t xml:space="preserve">ed by difference through Eq (3). </w:t>
      </w:r>
      <w:proofErr w:type="spellStart"/>
      <w:r>
        <w:t>m</w:t>
      </w:r>
      <w:r>
        <w:rPr>
          <w:vertAlign w:val="subscript"/>
        </w:rPr>
        <w:t>HC</w:t>
      </w:r>
      <w:proofErr w:type="spellEnd"/>
      <w:r w:rsidRPr="00C078AD">
        <w:t xml:space="preserve"> </w:t>
      </w:r>
      <w:r>
        <w:t xml:space="preserve">and </w:t>
      </w:r>
      <w:proofErr w:type="spellStart"/>
      <w:r>
        <w:t>m</w:t>
      </w:r>
      <w:r>
        <w:rPr>
          <w:vertAlign w:val="subscript"/>
        </w:rPr>
        <w:t>G</w:t>
      </w:r>
      <w:proofErr w:type="spellEnd"/>
      <w:r w:rsidRPr="00C078AD">
        <w:t xml:space="preserve"> </w:t>
      </w:r>
      <w:r>
        <w:t xml:space="preserve">are </w:t>
      </w:r>
      <w:r w:rsidRPr="00C078AD">
        <w:t>the mass of hydrochar (d.b.)</w:t>
      </w:r>
      <w:r>
        <w:t xml:space="preserve"> and gas,</w:t>
      </w:r>
      <w:r w:rsidRPr="00C078AD">
        <w:t xml:space="preserve"> collected after the</w:t>
      </w:r>
      <w:r>
        <w:t xml:space="preserve"> conversion, respectively and </w:t>
      </w:r>
      <w:proofErr w:type="spellStart"/>
      <w:r>
        <w:t>m</w:t>
      </w:r>
      <w:r>
        <w:rPr>
          <w:vertAlign w:val="subscript"/>
        </w:rPr>
        <w:t>raw</w:t>
      </w:r>
      <w:proofErr w:type="spellEnd"/>
      <w:r w:rsidRPr="00C078AD">
        <w:t xml:space="preserve"> is the mass (d.b.) of </w:t>
      </w:r>
      <w:r w:rsidR="00323F33">
        <w:t xml:space="preserve">the </w:t>
      </w:r>
      <w:r w:rsidRPr="00C078AD">
        <w:t>solid starting material.</w:t>
      </w:r>
    </w:p>
    <w:p w14:paraId="3EF9BE16" w14:textId="77777777" w:rsidR="00650D14" w:rsidRPr="00D065A6" w:rsidRDefault="00650D14" w:rsidP="00650D14">
      <w:pPr>
        <w:pStyle w:val="CETBodytext"/>
      </w:pPr>
    </w:p>
    <w:tbl>
      <w:tblPr>
        <w:tblW w:w="5000" w:type="pct"/>
        <w:tblLook w:val="04A0" w:firstRow="1" w:lastRow="0" w:firstColumn="1" w:lastColumn="0" w:noHBand="0" w:noVBand="1"/>
      </w:tblPr>
      <w:tblGrid>
        <w:gridCol w:w="7982"/>
        <w:gridCol w:w="805"/>
      </w:tblGrid>
      <w:tr w:rsidR="00650D14" w:rsidRPr="00B57B36" w14:paraId="1A8C8F62" w14:textId="77777777" w:rsidTr="00650D14">
        <w:tc>
          <w:tcPr>
            <w:tcW w:w="7982" w:type="dxa"/>
            <w:shd w:val="clear" w:color="auto" w:fill="auto"/>
            <w:vAlign w:val="center"/>
          </w:tcPr>
          <w:p w14:paraId="0DFE2DB5" w14:textId="74B7F798" w:rsidR="00650D14" w:rsidRPr="0086002D" w:rsidRDefault="00D100C4" w:rsidP="008759F8">
            <w:pPr>
              <w:pStyle w:val="CETEquation"/>
              <w:rPr>
                <w:rFonts w:ascii="Arial Black" w:hAnsi="Arial Black"/>
                <w:szCs w:val="18"/>
              </w:rPr>
            </w:pPr>
            <m:oMathPara>
              <m:oMathParaPr>
                <m:jc m:val="left"/>
              </m:oMathParaPr>
              <m:oMath>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HC</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HC</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raw</m:t>
                    </m:r>
                  </m:sub>
                </m:sSub>
              </m:oMath>
            </m:oMathPara>
          </w:p>
        </w:tc>
        <w:tc>
          <w:tcPr>
            <w:tcW w:w="805" w:type="dxa"/>
            <w:shd w:val="clear" w:color="auto" w:fill="auto"/>
            <w:vAlign w:val="center"/>
          </w:tcPr>
          <w:p w14:paraId="6B2C38D1" w14:textId="77777777" w:rsidR="00650D14" w:rsidRPr="00B57B36" w:rsidRDefault="00650D14" w:rsidP="008759F8">
            <w:pPr>
              <w:pStyle w:val="CETEquation"/>
              <w:jc w:val="right"/>
            </w:pPr>
            <w:r w:rsidRPr="00B57B36">
              <w:t>(1)</w:t>
            </w:r>
          </w:p>
        </w:tc>
      </w:tr>
      <w:tr w:rsidR="00650D14" w:rsidRPr="00B57B36" w14:paraId="0454483B" w14:textId="77777777" w:rsidTr="00650D14">
        <w:tc>
          <w:tcPr>
            <w:tcW w:w="7982" w:type="dxa"/>
            <w:shd w:val="clear" w:color="auto" w:fill="auto"/>
            <w:vAlign w:val="center"/>
          </w:tcPr>
          <w:p w14:paraId="3A8EFB53" w14:textId="3C880619" w:rsidR="00650D14" w:rsidRPr="0086002D" w:rsidRDefault="00D100C4" w:rsidP="008759F8">
            <w:pPr>
              <w:pStyle w:val="CETEquation"/>
              <w:rPr>
                <w:rFonts w:ascii="Arial Black" w:hAnsi="Arial Black"/>
                <w:szCs w:val="18"/>
              </w:rPr>
            </w:pPr>
            <m:oMathPara>
              <m:oMathParaPr>
                <m:jc m:val="left"/>
              </m:oMathParaPr>
              <m:oMath>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G</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G</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raw</m:t>
                    </m:r>
                  </m:sub>
                </m:sSub>
              </m:oMath>
            </m:oMathPara>
          </w:p>
        </w:tc>
        <w:tc>
          <w:tcPr>
            <w:tcW w:w="805" w:type="dxa"/>
            <w:shd w:val="clear" w:color="auto" w:fill="auto"/>
            <w:vAlign w:val="center"/>
          </w:tcPr>
          <w:p w14:paraId="1A4C8342" w14:textId="77EED9E6" w:rsidR="00650D14" w:rsidRPr="00B57B36" w:rsidRDefault="00650D14" w:rsidP="008759F8">
            <w:pPr>
              <w:pStyle w:val="CETEquation"/>
              <w:jc w:val="right"/>
            </w:pPr>
            <w:r w:rsidRPr="00B57B36">
              <w:t>(</w:t>
            </w:r>
            <w:r>
              <w:t>2</w:t>
            </w:r>
            <w:r w:rsidRPr="00B57B36">
              <w:t>)</w:t>
            </w:r>
          </w:p>
        </w:tc>
      </w:tr>
      <w:tr w:rsidR="00650D14" w:rsidRPr="00B57B36" w14:paraId="78EA4392" w14:textId="77777777" w:rsidTr="00650D14">
        <w:tc>
          <w:tcPr>
            <w:tcW w:w="7982" w:type="dxa"/>
            <w:shd w:val="clear" w:color="auto" w:fill="auto"/>
            <w:vAlign w:val="center"/>
          </w:tcPr>
          <w:p w14:paraId="17145469" w14:textId="48390131" w:rsidR="00650D14" w:rsidRPr="0086002D" w:rsidRDefault="00D100C4" w:rsidP="008759F8">
            <w:pPr>
              <w:pStyle w:val="CETEquation"/>
              <w:rPr>
                <w:rFonts w:ascii="Arial Black" w:hAnsi="Arial Black"/>
                <w:szCs w:val="18"/>
              </w:rPr>
            </w:pPr>
            <m:oMathPara>
              <m:oMathParaPr>
                <m:jc m:val="left"/>
              </m:oMathParaPr>
              <m:oMath>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L</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1-</m:t>
                    </m:r>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HC</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G</m:t>
                        </m:r>
                      </m:sub>
                    </m:sSub>
                  </m:e>
                  <m:sub/>
                </m:sSub>
              </m:oMath>
            </m:oMathPara>
          </w:p>
        </w:tc>
        <w:tc>
          <w:tcPr>
            <w:tcW w:w="805" w:type="dxa"/>
            <w:shd w:val="clear" w:color="auto" w:fill="auto"/>
            <w:vAlign w:val="center"/>
          </w:tcPr>
          <w:p w14:paraId="01F6ECE2" w14:textId="6D14D423" w:rsidR="00650D14" w:rsidRPr="00B57B36" w:rsidRDefault="00650D14" w:rsidP="008759F8">
            <w:pPr>
              <w:pStyle w:val="CETEquation"/>
              <w:jc w:val="right"/>
            </w:pPr>
            <w:r w:rsidRPr="00B57B36">
              <w:t>(</w:t>
            </w:r>
            <w:r>
              <w:t>3</w:t>
            </w:r>
            <w:r w:rsidRPr="00B57B36">
              <w:t>)</w:t>
            </w:r>
          </w:p>
        </w:tc>
      </w:tr>
    </w:tbl>
    <w:p w14:paraId="1D6553FB" w14:textId="77777777" w:rsidR="00650D14" w:rsidRDefault="00650D14" w:rsidP="00650D14">
      <w:pPr>
        <w:pStyle w:val="CETBodytext"/>
      </w:pPr>
    </w:p>
    <w:p w14:paraId="599BDEAD" w14:textId="72D0750A" w:rsidR="00D540BD" w:rsidRDefault="00D540BD" w:rsidP="00D540BD">
      <w:pPr>
        <w:pStyle w:val="CETBodytext"/>
      </w:pPr>
      <w:r w:rsidRPr="00EB570B">
        <w:t>The hydrochar energy properties were</w:t>
      </w:r>
      <w:r>
        <w:t xml:space="preserve"> computed</w:t>
      </w:r>
      <w:r w:rsidRPr="00EB570B">
        <w:t xml:space="preserve"> through the energy yield (EY) and the energy </w:t>
      </w:r>
      <w:r>
        <w:t>densification</w:t>
      </w:r>
      <w:r w:rsidRPr="00EB570B">
        <w:t xml:space="preserve"> ratio (E</w:t>
      </w:r>
      <w:r>
        <w:t>D</w:t>
      </w:r>
      <w:r w:rsidRPr="00EB570B">
        <w:t>R), defined as follows:</w:t>
      </w:r>
    </w:p>
    <w:p w14:paraId="4BBA894F" w14:textId="77777777" w:rsidR="00D540BD" w:rsidRDefault="00D540BD" w:rsidP="00D540BD">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333"/>
      </w:tblGrid>
      <w:tr w:rsidR="00D540BD" w:rsidRPr="0086002D" w14:paraId="36AA887F" w14:textId="77777777" w:rsidTr="008759F8">
        <w:tc>
          <w:tcPr>
            <w:tcW w:w="4381" w:type="dxa"/>
          </w:tcPr>
          <w:p w14:paraId="4E327C35" w14:textId="047B9F40" w:rsidR="00D540BD" w:rsidRPr="0086002D" w:rsidRDefault="000D691F" w:rsidP="008759F8">
            <w:pPr>
              <w:spacing w:line="360" w:lineRule="auto"/>
              <w:rPr>
                <w:rFonts w:ascii="Times New Roman" w:hAnsi="Times New Roman"/>
                <w:szCs w:val="18"/>
              </w:rPr>
            </w:pPr>
            <m:oMath>
              <m:r>
                <m:rPr>
                  <m:sty m:val="p"/>
                </m:rPr>
                <w:rPr>
                  <w:rFonts w:ascii="Cambria Math" w:hAnsi="Cambria Math"/>
                  <w:szCs w:val="18"/>
                </w:rPr>
                <m:t>EY</m:t>
              </m:r>
              <m:r>
                <m:rPr>
                  <m:sty m:val="p"/>
                </m:rPr>
                <w:rPr>
                  <w:rFonts w:ascii="Cambria Math" w:hAnsi="Cambria Math"/>
                  <w:szCs w:val="18"/>
                  <w:lang w:val="en-US"/>
                </w:rPr>
                <m:t>=</m:t>
              </m:r>
              <m:f>
                <m:fPr>
                  <m:ctrlPr>
                    <w:rPr>
                      <w:rFonts w:ascii="Cambria Math" w:hAnsi="Cambria Math"/>
                      <w:szCs w:val="18"/>
                    </w:rPr>
                  </m:ctrlPr>
                </m:fPr>
                <m:num>
                  <m:sSub>
                    <m:sSubPr>
                      <m:ctrlPr>
                        <w:rPr>
                          <w:rFonts w:ascii="Cambria Math" w:hAnsi="Cambria Math"/>
                          <w:szCs w:val="18"/>
                        </w:rPr>
                      </m:ctrlPr>
                    </m:sSubPr>
                    <m:e>
                      <m:r>
                        <m:rPr>
                          <m:sty m:val="p"/>
                        </m:rPr>
                        <w:rPr>
                          <w:rFonts w:ascii="Cambria Math" w:hAnsi="Cambria Math"/>
                          <w:szCs w:val="18"/>
                        </w:rPr>
                        <m:t>HHV</m:t>
                      </m:r>
                    </m:e>
                    <m:sub>
                      <m:r>
                        <m:rPr>
                          <m:sty m:val="p"/>
                        </m:rPr>
                        <w:rPr>
                          <w:rFonts w:ascii="Cambria Math" w:hAnsi="Cambria Math"/>
                          <w:szCs w:val="18"/>
                        </w:rPr>
                        <m:t>HC</m:t>
                      </m:r>
                    </m:sub>
                  </m:sSub>
                </m:num>
                <m:den>
                  <m:sSub>
                    <m:sSubPr>
                      <m:ctrlPr>
                        <w:rPr>
                          <w:rFonts w:ascii="Cambria Math" w:hAnsi="Cambria Math"/>
                          <w:szCs w:val="18"/>
                        </w:rPr>
                      </m:ctrlPr>
                    </m:sSubPr>
                    <m:e>
                      <m:r>
                        <m:rPr>
                          <m:sty m:val="p"/>
                        </m:rPr>
                        <w:rPr>
                          <w:rFonts w:ascii="Cambria Math" w:hAnsi="Cambria Math"/>
                          <w:szCs w:val="18"/>
                        </w:rPr>
                        <m:t>HHV</m:t>
                      </m:r>
                    </m:e>
                    <m:sub>
                      <m:r>
                        <m:rPr>
                          <m:sty m:val="p"/>
                        </m:rPr>
                        <w:rPr>
                          <w:rFonts w:ascii="Cambria Math" w:hAnsi="Cambria Math"/>
                          <w:szCs w:val="18"/>
                        </w:rPr>
                        <m:t>raw</m:t>
                      </m:r>
                    </m:sub>
                  </m:sSub>
                </m:den>
              </m:f>
              <m:r>
                <m:rPr>
                  <m:sty m:val="p"/>
                </m:rPr>
                <w:rPr>
                  <w:rFonts w:ascii="Cambria Math" w:hAnsi="Cambria Math"/>
                  <w:szCs w:val="18"/>
                  <w:lang w:val="en-US"/>
                </w:rPr>
                <m:t xml:space="preserve"> ∙ </m:t>
              </m:r>
              <m:sSub>
                <m:sSubPr>
                  <m:ctrlPr>
                    <w:rPr>
                      <w:rFonts w:ascii="Cambria Math" w:hAnsi="Cambria Math"/>
                      <w:szCs w:val="18"/>
                    </w:rPr>
                  </m:ctrlPr>
                </m:sSubPr>
                <m:e>
                  <m:r>
                    <m:rPr>
                      <m:sty m:val="p"/>
                    </m:rPr>
                    <w:rPr>
                      <w:rFonts w:ascii="Cambria Math" w:hAnsi="Cambria Math"/>
                      <w:szCs w:val="18"/>
                    </w:rPr>
                    <m:t>MY</m:t>
                  </m:r>
                </m:e>
                <m:sub>
                  <m:r>
                    <m:rPr>
                      <m:sty m:val="p"/>
                    </m:rPr>
                    <w:rPr>
                      <w:rFonts w:ascii="Cambria Math" w:hAnsi="Cambria Math"/>
                      <w:szCs w:val="18"/>
                    </w:rPr>
                    <m:t>HC</m:t>
                  </m:r>
                </m:sub>
              </m:sSub>
              <m:r>
                <m:rPr>
                  <m:sty m:val="p"/>
                </m:rPr>
                <w:rPr>
                  <w:rFonts w:ascii="Cambria Math" w:hAnsi="Cambria Math"/>
                  <w:szCs w:val="18"/>
                  <w:lang w:val="en-US"/>
                </w:rPr>
                <m:t xml:space="preserve">  </m:t>
              </m:r>
            </m:oMath>
            <w:r w:rsidR="00D540BD" w:rsidRPr="0086002D">
              <w:rPr>
                <w:rFonts w:ascii="Times New Roman" w:eastAsiaTheme="minorEastAsia" w:hAnsi="Times New Roman"/>
                <w:szCs w:val="18"/>
                <w:lang w:val="en-US"/>
              </w:rPr>
              <w:t xml:space="preserve"> </w:t>
            </w:r>
          </w:p>
        </w:tc>
        <w:tc>
          <w:tcPr>
            <w:tcW w:w="4333" w:type="dxa"/>
            <w:vAlign w:val="center"/>
          </w:tcPr>
          <w:p w14:paraId="01D3D54C" w14:textId="3E0C1432" w:rsidR="00D540BD" w:rsidRPr="0086002D" w:rsidRDefault="00D540BD" w:rsidP="008759F8">
            <w:pPr>
              <w:spacing w:line="360" w:lineRule="auto"/>
              <w:jc w:val="right"/>
              <w:rPr>
                <w:rFonts w:cs="Arial"/>
                <w:szCs w:val="18"/>
              </w:rPr>
            </w:pPr>
            <w:r w:rsidRPr="0086002D">
              <w:rPr>
                <w:rFonts w:cs="Arial"/>
                <w:szCs w:val="18"/>
              </w:rPr>
              <w:t>(4)</w:t>
            </w:r>
          </w:p>
        </w:tc>
      </w:tr>
    </w:tbl>
    <w:p w14:paraId="47433958" w14:textId="77777777" w:rsidR="00D540BD" w:rsidRPr="0086002D" w:rsidRDefault="00D540BD" w:rsidP="00D540BD">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333"/>
      </w:tblGrid>
      <w:tr w:rsidR="00D540BD" w:rsidRPr="0086002D" w14:paraId="5F9A6D0D" w14:textId="77777777" w:rsidTr="008759F8">
        <w:tc>
          <w:tcPr>
            <w:tcW w:w="4381" w:type="dxa"/>
          </w:tcPr>
          <w:p w14:paraId="78FBC134" w14:textId="1C4EB531" w:rsidR="00D540BD" w:rsidRPr="0086002D" w:rsidRDefault="000D691F" w:rsidP="008759F8">
            <w:pPr>
              <w:spacing w:line="360" w:lineRule="auto"/>
              <w:rPr>
                <w:rFonts w:ascii="Times New Roman" w:hAnsi="Times New Roman"/>
                <w:szCs w:val="18"/>
              </w:rPr>
            </w:pPr>
            <m:oMath>
              <m:r>
                <m:rPr>
                  <m:sty m:val="p"/>
                </m:rPr>
                <w:rPr>
                  <w:rFonts w:ascii="Cambria Math" w:hAnsi="Cambria Math"/>
                  <w:szCs w:val="18"/>
                </w:rPr>
                <m:t xml:space="preserve">EDR= </m:t>
              </m:r>
              <m:f>
                <m:fPr>
                  <m:ctrlPr>
                    <w:rPr>
                      <w:rFonts w:ascii="Cambria Math" w:hAnsi="Cambria Math"/>
                      <w:szCs w:val="18"/>
                    </w:rPr>
                  </m:ctrlPr>
                </m:fPr>
                <m:num>
                  <m:sSub>
                    <m:sSubPr>
                      <m:ctrlPr>
                        <w:rPr>
                          <w:rFonts w:ascii="Cambria Math" w:hAnsi="Cambria Math"/>
                          <w:szCs w:val="18"/>
                        </w:rPr>
                      </m:ctrlPr>
                    </m:sSubPr>
                    <m:e>
                      <m:r>
                        <m:rPr>
                          <m:sty m:val="p"/>
                        </m:rPr>
                        <w:rPr>
                          <w:rFonts w:ascii="Cambria Math" w:hAnsi="Cambria Math"/>
                          <w:szCs w:val="18"/>
                        </w:rPr>
                        <m:t>HHV</m:t>
                      </m:r>
                    </m:e>
                    <m:sub>
                      <m:r>
                        <m:rPr>
                          <m:sty m:val="p"/>
                        </m:rPr>
                        <w:rPr>
                          <w:rFonts w:ascii="Cambria Math" w:hAnsi="Cambria Math"/>
                          <w:szCs w:val="18"/>
                        </w:rPr>
                        <m:t>HC</m:t>
                      </m:r>
                    </m:sub>
                  </m:sSub>
                </m:num>
                <m:den>
                  <m:sSub>
                    <m:sSubPr>
                      <m:ctrlPr>
                        <w:rPr>
                          <w:rFonts w:ascii="Cambria Math" w:hAnsi="Cambria Math"/>
                          <w:szCs w:val="18"/>
                        </w:rPr>
                      </m:ctrlPr>
                    </m:sSubPr>
                    <m:e>
                      <m:r>
                        <m:rPr>
                          <m:sty m:val="p"/>
                        </m:rPr>
                        <w:rPr>
                          <w:rFonts w:ascii="Cambria Math" w:hAnsi="Cambria Math"/>
                          <w:szCs w:val="18"/>
                        </w:rPr>
                        <m:t>HHV</m:t>
                      </m:r>
                    </m:e>
                    <m:sub>
                      <m:r>
                        <m:rPr>
                          <m:sty m:val="p"/>
                        </m:rPr>
                        <w:rPr>
                          <w:rFonts w:ascii="Cambria Math" w:hAnsi="Cambria Math"/>
                          <w:szCs w:val="18"/>
                        </w:rPr>
                        <m:t>raw</m:t>
                      </m:r>
                    </m:sub>
                  </m:sSub>
                </m:den>
              </m:f>
            </m:oMath>
            <w:r w:rsidR="00D540BD" w:rsidRPr="0086002D">
              <w:rPr>
                <w:rFonts w:ascii="Times New Roman" w:eastAsiaTheme="minorEastAsia" w:hAnsi="Times New Roman"/>
                <w:szCs w:val="18"/>
              </w:rPr>
              <w:t xml:space="preserve"> </w:t>
            </w:r>
          </w:p>
        </w:tc>
        <w:tc>
          <w:tcPr>
            <w:tcW w:w="4333" w:type="dxa"/>
            <w:vAlign w:val="center"/>
          </w:tcPr>
          <w:p w14:paraId="6D2FD8BB" w14:textId="0644B294" w:rsidR="00D540BD" w:rsidRPr="0086002D" w:rsidRDefault="00D540BD" w:rsidP="008759F8">
            <w:pPr>
              <w:spacing w:line="360" w:lineRule="auto"/>
              <w:jc w:val="right"/>
              <w:rPr>
                <w:rFonts w:cs="Arial"/>
                <w:szCs w:val="18"/>
              </w:rPr>
            </w:pPr>
            <w:r w:rsidRPr="0086002D">
              <w:rPr>
                <w:rFonts w:cs="Arial"/>
                <w:szCs w:val="18"/>
              </w:rPr>
              <w:t>(5)</w:t>
            </w:r>
          </w:p>
        </w:tc>
      </w:tr>
    </w:tbl>
    <w:p w14:paraId="09AAFE28" w14:textId="37348854" w:rsidR="00D540BD" w:rsidRPr="001F3B52" w:rsidRDefault="00446FA8" w:rsidP="00D540BD">
      <w:pPr>
        <w:pStyle w:val="CETBodytext"/>
      </w:pPr>
      <w:r>
        <w:t>Whe</w:t>
      </w:r>
      <w:r w:rsidR="00D540BD">
        <w:t>re the HHV</w:t>
      </w:r>
      <w:r w:rsidR="00D540BD">
        <w:rPr>
          <w:vertAlign w:val="subscript"/>
        </w:rPr>
        <w:t>HC</w:t>
      </w:r>
      <w:r w:rsidR="00D540BD">
        <w:t xml:space="preserve"> and </w:t>
      </w:r>
      <w:proofErr w:type="spellStart"/>
      <w:r w:rsidR="00D540BD">
        <w:t>HHV</w:t>
      </w:r>
      <w:r w:rsidR="00D540BD">
        <w:rPr>
          <w:vertAlign w:val="subscript"/>
        </w:rPr>
        <w:t>raw</w:t>
      </w:r>
      <w:proofErr w:type="spellEnd"/>
      <w:r w:rsidR="00D540BD">
        <w:t xml:space="preserve"> indicate the HHV values</w:t>
      </w:r>
      <w:r w:rsidR="00D540BD" w:rsidRPr="009F56AE">
        <w:t xml:space="preserve"> for the hydrochar and raw feedstock, respectively.</w:t>
      </w:r>
      <w:r w:rsidR="00D540BD">
        <w:t xml:space="preserve"> </w:t>
      </w:r>
    </w:p>
    <w:p w14:paraId="707BD169" w14:textId="12E48792" w:rsidR="00D252BC" w:rsidRPr="00B57B36" w:rsidRDefault="00D252BC" w:rsidP="00D252BC">
      <w:pPr>
        <w:pStyle w:val="CETHeading1"/>
        <w:tabs>
          <w:tab w:val="clear" w:pos="360"/>
          <w:tab w:val="right" w:pos="7100"/>
        </w:tabs>
        <w:jc w:val="both"/>
        <w:rPr>
          <w:lang w:val="en-GB"/>
        </w:rPr>
      </w:pPr>
      <w:r>
        <w:rPr>
          <w:lang w:val="en-GB"/>
        </w:rPr>
        <w:t>Results and Discussion</w:t>
      </w:r>
    </w:p>
    <w:p w14:paraId="65FD6DB7" w14:textId="43686AE5" w:rsidR="00446FA8" w:rsidRPr="00446FA8" w:rsidRDefault="00446FA8" w:rsidP="008C1174">
      <w:pPr>
        <w:pStyle w:val="CETTabletitle"/>
        <w:jc w:val="both"/>
        <w:rPr>
          <w:i w:val="0"/>
        </w:rPr>
      </w:pPr>
      <w:bookmarkStart w:id="0" w:name="_Hlk155956602"/>
      <w:r>
        <w:rPr>
          <w:i w:val="0"/>
        </w:rPr>
        <w:t>Table 1 reports the HTC residues mass yields. The data show that between 200 and 250 °C the mass yields of the solid, the liquid and the gas fraction</w:t>
      </w:r>
      <w:r w:rsidR="008C1174">
        <w:rPr>
          <w:i w:val="0"/>
        </w:rPr>
        <w:t>s</w:t>
      </w:r>
      <w:r>
        <w:rPr>
          <w:i w:val="0"/>
        </w:rPr>
        <w:t xml:space="preserve"> did not differ significantly</w:t>
      </w:r>
      <w:r w:rsidR="008C1174">
        <w:rPr>
          <w:i w:val="0"/>
        </w:rPr>
        <w:t xml:space="preserve"> being approximately 40 </w:t>
      </w:r>
      <w:proofErr w:type="spellStart"/>
      <w:r w:rsidR="008C1174">
        <w:rPr>
          <w:i w:val="0"/>
        </w:rPr>
        <w:t>wt</w:t>
      </w:r>
      <w:proofErr w:type="spellEnd"/>
      <w:r w:rsidR="008C1174">
        <w:rPr>
          <w:i w:val="0"/>
        </w:rPr>
        <w:t xml:space="preserve">% for </w:t>
      </w:r>
      <w:proofErr w:type="spellStart"/>
      <w:r w:rsidR="008C1174">
        <w:rPr>
          <w:i w:val="0"/>
        </w:rPr>
        <w:t>hydrochars</w:t>
      </w:r>
      <w:proofErr w:type="spellEnd"/>
      <w:r w:rsidR="008C1174">
        <w:rPr>
          <w:i w:val="0"/>
        </w:rPr>
        <w:t xml:space="preserve">, 1-2 </w:t>
      </w:r>
      <w:proofErr w:type="spellStart"/>
      <w:r w:rsidR="008C1174">
        <w:rPr>
          <w:i w:val="0"/>
        </w:rPr>
        <w:t>wt</w:t>
      </w:r>
      <w:proofErr w:type="spellEnd"/>
      <w:r w:rsidR="008C1174">
        <w:rPr>
          <w:i w:val="0"/>
        </w:rPr>
        <w:t xml:space="preserve">% for the gas fraction and about 58-59 </w:t>
      </w:r>
      <w:proofErr w:type="spellStart"/>
      <w:r w:rsidR="008C1174">
        <w:rPr>
          <w:i w:val="0"/>
        </w:rPr>
        <w:t>wt</w:t>
      </w:r>
      <w:proofErr w:type="spellEnd"/>
      <w:r w:rsidR="008C1174">
        <w:rPr>
          <w:i w:val="0"/>
        </w:rPr>
        <w:t>% for the liquid residue. Differently</w:t>
      </w:r>
      <w:r w:rsidR="00255250">
        <w:rPr>
          <w:i w:val="0"/>
        </w:rPr>
        <w:t>,</w:t>
      </w:r>
      <w:r w:rsidR="008C1174">
        <w:rPr>
          <w:i w:val="0"/>
        </w:rPr>
        <w:t xml:space="preserve"> at 280 °C hydrochar mass yield drops to about 32 </w:t>
      </w:r>
      <w:proofErr w:type="spellStart"/>
      <w:r w:rsidR="008C1174">
        <w:rPr>
          <w:i w:val="0"/>
        </w:rPr>
        <w:t>wt</w:t>
      </w:r>
      <w:proofErr w:type="spellEnd"/>
      <w:r w:rsidR="008C1174">
        <w:rPr>
          <w:i w:val="0"/>
        </w:rPr>
        <w:t>%</w:t>
      </w:r>
      <w:r w:rsidR="00255250">
        <w:rPr>
          <w:i w:val="0"/>
        </w:rPr>
        <w:t>,</w:t>
      </w:r>
      <w:r w:rsidR="008C1174">
        <w:rPr>
          <w:i w:val="0"/>
        </w:rPr>
        <w:t xml:space="preserve"> while both gas </w:t>
      </w:r>
      <w:r w:rsidR="00323F33">
        <w:rPr>
          <w:i w:val="0"/>
        </w:rPr>
        <w:t>and</w:t>
      </w:r>
      <w:r w:rsidR="00323F33">
        <w:rPr>
          <w:i w:val="0"/>
        </w:rPr>
        <w:t xml:space="preserve"> </w:t>
      </w:r>
      <w:r w:rsidR="008C1174">
        <w:rPr>
          <w:i w:val="0"/>
        </w:rPr>
        <w:t xml:space="preserve">liquid mass yields increase up to 4.0 and 64.3 </w:t>
      </w:r>
      <w:proofErr w:type="spellStart"/>
      <w:r w:rsidR="008C1174">
        <w:rPr>
          <w:i w:val="0"/>
        </w:rPr>
        <w:t>wt</w:t>
      </w:r>
      <w:proofErr w:type="spellEnd"/>
      <w:r w:rsidR="008C1174">
        <w:rPr>
          <w:i w:val="0"/>
        </w:rPr>
        <w:t>% respectively. This behaviour can be ascribed to the high content of sugars and hemicellulose fractions into the feedstock readily decomposed also at the lower HTC process temperatures. At higher HTC temperatures as 280 °C the more recalcitrant biomass component as lignin could be significantly decomposed thus reducing the solid mass yields</w:t>
      </w:r>
      <w:r w:rsidR="001D054D">
        <w:rPr>
          <w:i w:val="0"/>
        </w:rPr>
        <w:t xml:space="preserve"> (Kim et al., 2016)</w:t>
      </w:r>
      <w:r w:rsidR="008C1174">
        <w:rPr>
          <w:i w:val="0"/>
        </w:rPr>
        <w:t>.</w:t>
      </w:r>
      <w:r>
        <w:rPr>
          <w:i w:val="0"/>
        </w:rPr>
        <w:t xml:space="preserve">  </w:t>
      </w:r>
    </w:p>
    <w:p w14:paraId="3BD7F0F9" w14:textId="37D0F2BF" w:rsidR="00144B1E" w:rsidRDefault="00144B1E" w:rsidP="00144B1E">
      <w:pPr>
        <w:pStyle w:val="CETTabletitle"/>
      </w:pPr>
      <w:r w:rsidRPr="00B57B36">
        <w:t xml:space="preserve">Table 1: </w:t>
      </w:r>
      <w:r w:rsidR="009E336C">
        <w:t>mass yields</w:t>
      </w:r>
      <w:r>
        <w:t xml:space="preserve"> of</w:t>
      </w:r>
      <w:r w:rsidR="002A6CC5">
        <w:t xml:space="preserve"> </w:t>
      </w:r>
      <w:r>
        <w:t>CF</w:t>
      </w:r>
      <w:r w:rsidR="009E336C">
        <w:t xml:space="preserve"> HTC residues</w:t>
      </w:r>
      <w:r>
        <w:t>;</w:t>
      </w:r>
      <w:r w:rsidR="009E336C">
        <w:t xml:space="preserve"> </w:t>
      </w:r>
      <w:r>
        <w:t xml:space="preserve">average values </w:t>
      </w:r>
      <w:r w:rsidR="009E336C">
        <w:t>of three HTC runs at each experimental condition</w:t>
      </w:r>
      <w:r>
        <w:t xml:space="preserve"> (RSD% </w:t>
      </w:r>
      <w:r>
        <w:rPr>
          <w:rStyle w:val="CETCaptionCarattere"/>
          <w:rFonts w:cs="Arial"/>
          <w:i/>
        </w:rPr>
        <w:t xml:space="preserve">≤ </w:t>
      </w:r>
      <w:r w:rsidR="009E336C">
        <w:rPr>
          <w:rStyle w:val="CETCaptionCarattere"/>
          <w:rFonts w:cs="Arial"/>
          <w:i/>
        </w:rPr>
        <w:t>0</w:t>
      </w:r>
      <w:r>
        <w:rPr>
          <w:rStyle w:val="CETCaptionCarattere"/>
          <w:rFonts w:cs="Arial"/>
          <w:i/>
        </w:rPr>
        <w:t>.</w:t>
      </w:r>
      <w:r w:rsidR="009E336C">
        <w:rPr>
          <w:rStyle w:val="CETCaptionCarattere"/>
          <w:rFonts w:cs="Arial"/>
          <w:i/>
        </w:rPr>
        <w:t>8</w:t>
      </w:r>
      <w:r>
        <w:rPr>
          <w:rStyle w:val="CETCaptionCarattere"/>
          <w:rFonts w:cs="Arial"/>
          <w: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144B1E" w:rsidRPr="00B57B36" w14:paraId="7852FC2B" w14:textId="77777777" w:rsidTr="008759F8">
        <w:tc>
          <w:tcPr>
            <w:tcW w:w="1134" w:type="dxa"/>
            <w:vMerge w:val="restart"/>
            <w:tcBorders>
              <w:top w:val="single" w:sz="12" w:space="0" w:color="008000"/>
            </w:tcBorders>
            <w:shd w:val="clear" w:color="auto" w:fill="FFFFFF"/>
          </w:tcPr>
          <w:p w14:paraId="66444191" w14:textId="77777777" w:rsidR="00144B1E" w:rsidRPr="00B57B36" w:rsidRDefault="00144B1E" w:rsidP="008759F8">
            <w:pPr>
              <w:pStyle w:val="CETBodytext"/>
              <w:jc w:val="center"/>
              <w:rPr>
                <w:lang w:val="en-GB"/>
              </w:rPr>
            </w:pPr>
            <w:r>
              <w:rPr>
                <w:lang w:val="en-GB"/>
              </w:rPr>
              <w:t>Sample</w:t>
            </w:r>
          </w:p>
        </w:tc>
        <w:tc>
          <w:tcPr>
            <w:tcW w:w="3402" w:type="dxa"/>
            <w:gridSpan w:val="3"/>
            <w:tcBorders>
              <w:top w:val="single" w:sz="12" w:space="0" w:color="008000"/>
              <w:bottom w:val="single" w:sz="6" w:space="0" w:color="008000"/>
            </w:tcBorders>
            <w:shd w:val="clear" w:color="auto" w:fill="FFFFFF"/>
          </w:tcPr>
          <w:p w14:paraId="639451F5" w14:textId="17D9A2C5" w:rsidR="00144B1E" w:rsidRPr="00B57B36" w:rsidRDefault="00144B1E" w:rsidP="008759F8">
            <w:pPr>
              <w:pStyle w:val="CETBodytext"/>
              <w:ind w:right="-1"/>
              <w:jc w:val="center"/>
              <w:rPr>
                <w:rFonts w:cs="Arial"/>
                <w:szCs w:val="18"/>
                <w:lang w:val="en-GB"/>
              </w:rPr>
            </w:pPr>
            <w:r>
              <w:rPr>
                <w:rFonts w:cs="Arial"/>
                <w:szCs w:val="18"/>
                <w:lang w:val="en-GB"/>
              </w:rPr>
              <w:t xml:space="preserve">    </w:t>
            </w:r>
            <w:r w:rsidR="009831F7">
              <w:rPr>
                <w:rFonts w:cs="Arial"/>
                <w:szCs w:val="18"/>
                <w:lang w:val="en-GB"/>
              </w:rPr>
              <w:t>mass yields</w:t>
            </w:r>
            <w:r>
              <w:rPr>
                <w:rFonts w:cs="Arial"/>
                <w:szCs w:val="18"/>
                <w:lang w:val="en-GB"/>
              </w:rPr>
              <w:t xml:space="preserve"> (</w:t>
            </w:r>
            <w:proofErr w:type="spellStart"/>
            <w:r>
              <w:rPr>
                <w:rFonts w:cs="Arial"/>
                <w:szCs w:val="18"/>
                <w:lang w:val="en-GB"/>
              </w:rPr>
              <w:t>wt</w:t>
            </w:r>
            <w:proofErr w:type="spellEnd"/>
            <w:r>
              <w:rPr>
                <w:rFonts w:cs="Arial"/>
                <w:szCs w:val="18"/>
                <w:lang w:val="en-GB"/>
              </w:rPr>
              <w:t xml:space="preserve">% </w:t>
            </w:r>
            <w:proofErr w:type="spellStart"/>
            <w:r>
              <w:rPr>
                <w:rFonts w:cs="Arial"/>
                <w:szCs w:val="18"/>
                <w:lang w:val="en-GB"/>
              </w:rPr>
              <w:t>d.b</w:t>
            </w:r>
            <w:proofErr w:type="spellEnd"/>
            <w:r>
              <w:rPr>
                <w:rFonts w:cs="Arial"/>
                <w:szCs w:val="18"/>
                <w:lang w:val="en-GB"/>
              </w:rPr>
              <w:t>.)</w:t>
            </w:r>
          </w:p>
        </w:tc>
      </w:tr>
      <w:tr w:rsidR="00144B1E" w:rsidRPr="00B57B36" w14:paraId="292B2E3A" w14:textId="77777777" w:rsidTr="008759F8">
        <w:tc>
          <w:tcPr>
            <w:tcW w:w="1134" w:type="dxa"/>
            <w:vMerge/>
            <w:tcBorders>
              <w:bottom w:val="single" w:sz="6" w:space="0" w:color="008000"/>
            </w:tcBorders>
            <w:shd w:val="clear" w:color="auto" w:fill="FFFFFF"/>
          </w:tcPr>
          <w:p w14:paraId="22A0FAFA" w14:textId="77777777" w:rsidR="00144B1E" w:rsidRPr="00B57B36" w:rsidRDefault="00144B1E" w:rsidP="008759F8">
            <w:pPr>
              <w:pStyle w:val="CETBodytext"/>
              <w:rPr>
                <w:lang w:val="en-GB"/>
              </w:rPr>
            </w:pPr>
          </w:p>
        </w:tc>
        <w:tc>
          <w:tcPr>
            <w:tcW w:w="1134" w:type="dxa"/>
            <w:tcBorders>
              <w:top w:val="single" w:sz="12" w:space="0" w:color="008000"/>
              <w:bottom w:val="single" w:sz="6" w:space="0" w:color="008000"/>
            </w:tcBorders>
            <w:shd w:val="clear" w:color="auto" w:fill="FFFFFF"/>
          </w:tcPr>
          <w:p w14:paraId="14C91E51" w14:textId="3C1F96BF" w:rsidR="00144B1E" w:rsidRPr="00B57B36" w:rsidRDefault="00144B1E" w:rsidP="008759F8">
            <w:pPr>
              <w:pStyle w:val="CETBodytext"/>
              <w:jc w:val="center"/>
              <w:rPr>
                <w:lang w:val="en-GB"/>
              </w:rPr>
            </w:pPr>
            <w:r>
              <w:rPr>
                <w:lang w:val="en-GB"/>
              </w:rPr>
              <w:t>MY</w:t>
            </w:r>
            <w:r w:rsidRPr="00144B1E">
              <w:rPr>
                <w:vertAlign w:val="subscript"/>
                <w:lang w:val="en-GB"/>
              </w:rPr>
              <w:t>HC</w:t>
            </w:r>
          </w:p>
        </w:tc>
        <w:tc>
          <w:tcPr>
            <w:tcW w:w="1134" w:type="dxa"/>
            <w:tcBorders>
              <w:top w:val="single" w:sz="12" w:space="0" w:color="008000"/>
              <w:bottom w:val="single" w:sz="6" w:space="0" w:color="008000"/>
            </w:tcBorders>
            <w:shd w:val="clear" w:color="auto" w:fill="FFFFFF"/>
          </w:tcPr>
          <w:p w14:paraId="029CC692" w14:textId="28846F92" w:rsidR="00144B1E" w:rsidRPr="00B57B36" w:rsidRDefault="00144B1E" w:rsidP="008759F8">
            <w:pPr>
              <w:pStyle w:val="CETBodytext"/>
              <w:jc w:val="center"/>
              <w:rPr>
                <w:lang w:val="en-GB"/>
              </w:rPr>
            </w:pPr>
            <w:r>
              <w:rPr>
                <w:lang w:val="en-GB"/>
              </w:rPr>
              <w:t>MY</w:t>
            </w:r>
            <w:r>
              <w:rPr>
                <w:vertAlign w:val="subscript"/>
                <w:lang w:val="en-GB"/>
              </w:rPr>
              <w:t>G</w:t>
            </w:r>
          </w:p>
        </w:tc>
        <w:tc>
          <w:tcPr>
            <w:tcW w:w="1134" w:type="dxa"/>
            <w:tcBorders>
              <w:top w:val="single" w:sz="12" w:space="0" w:color="008000"/>
              <w:bottom w:val="single" w:sz="6" w:space="0" w:color="008000"/>
            </w:tcBorders>
            <w:shd w:val="clear" w:color="auto" w:fill="FFFFFF"/>
          </w:tcPr>
          <w:p w14:paraId="537A8AE8" w14:textId="376832B3" w:rsidR="00144B1E" w:rsidRPr="00B57B36" w:rsidRDefault="00144B1E" w:rsidP="008759F8">
            <w:pPr>
              <w:pStyle w:val="CETBodytext"/>
              <w:ind w:right="-1"/>
              <w:jc w:val="center"/>
              <w:rPr>
                <w:rFonts w:cs="Arial"/>
                <w:szCs w:val="18"/>
                <w:lang w:val="en-GB"/>
              </w:rPr>
            </w:pPr>
            <w:r>
              <w:rPr>
                <w:lang w:val="en-GB"/>
              </w:rPr>
              <w:t>MY</w:t>
            </w:r>
            <w:r>
              <w:rPr>
                <w:vertAlign w:val="subscript"/>
                <w:lang w:val="en-GB"/>
              </w:rPr>
              <w:t>L</w:t>
            </w:r>
            <w:r>
              <w:rPr>
                <w:rFonts w:cs="Arial"/>
                <w:szCs w:val="18"/>
                <w:lang w:val="en-GB"/>
              </w:rPr>
              <w:t>*</w:t>
            </w:r>
          </w:p>
        </w:tc>
      </w:tr>
      <w:tr w:rsidR="00144B1E" w:rsidRPr="00B57B36" w14:paraId="2043A88B" w14:textId="77777777" w:rsidTr="008759F8">
        <w:tc>
          <w:tcPr>
            <w:tcW w:w="1134" w:type="dxa"/>
            <w:shd w:val="clear" w:color="auto" w:fill="FFFFFF"/>
          </w:tcPr>
          <w:p w14:paraId="0CAB68E4" w14:textId="22E6E1F3" w:rsidR="00144B1E" w:rsidRPr="00B57B36" w:rsidRDefault="00144B1E" w:rsidP="008759F8">
            <w:pPr>
              <w:pStyle w:val="CETBodytext"/>
              <w:jc w:val="left"/>
              <w:rPr>
                <w:lang w:val="en-GB"/>
              </w:rPr>
            </w:pPr>
            <w:r>
              <w:rPr>
                <w:lang w:val="en-GB"/>
              </w:rPr>
              <w:t>HTC</w:t>
            </w:r>
            <w:r w:rsidRPr="00A812BD">
              <w:rPr>
                <w:vertAlign w:val="subscript"/>
                <w:lang w:val="en-GB"/>
              </w:rPr>
              <w:t>CF</w:t>
            </w:r>
            <w:r>
              <w:rPr>
                <w:lang w:val="en-GB"/>
              </w:rPr>
              <w:t>_200</w:t>
            </w:r>
          </w:p>
        </w:tc>
        <w:tc>
          <w:tcPr>
            <w:tcW w:w="1134" w:type="dxa"/>
            <w:shd w:val="clear" w:color="auto" w:fill="FFFFFF"/>
          </w:tcPr>
          <w:p w14:paraId="26E3A7BB" w14:textId="5FC9BFF5" w:rsidR="00144B1E" w:rsidRPr="00B57B36" w:rsidRDefault="00144B1E" w:rsidP="008759F8">
            <w:pPr>
              <w:pStyle w:val="CETBodytext"/>
              <w:jc w:val="center"/>
              <w:rPr>
                <w:lang w:val="en-GB"/>
              </w:rPr>
            </w:pPr>
            <w:r>
              <w:rPr>
                <w:lang w:val="en-GB"/>
              </w:rPr>
              <w:t>39.9</w:t>
            </w:r>
          </w:p>
        </w:tc>
        <w:tc>
          <w:tcPr>
            <w:tcW w:w="1134" w:type="dxa"/>
            <w:shd w:val="clear" w:color="auto" w:fill="FFFFFF"/>
          </w:tcPr>
          <w:p w14:paraId="06A66D8E" w14:textId="3F88136F" w:rsidR="00144B1E" w:rsidRPr="00B57B36" w:rsidRDefault="00497053" w:rsidP="008759F8">
            <w:pPr>
              <w:pStyle w:val="CETBodytext"/>
              <w:jc w:val="center"/>
              <w:rPr>
                <w:lang w:val="en-GB"/>
              </w:rPr>
            </w:pPr>
            <w:r>
              <w:rPr>
                <w:lang w:val="en-GB"/>
              </w:rPr>
              <w:t>1</w:t>
            </w:r>
            <w:r w:rsidR="00144B1E">
              <w:rPr>
                <w:lang w:val="en-GB"/>
              </w:rPr>
              <w:t>.</w:t>
            </w:r>
            <w:r>
              <w:rPr>
                <w:lang w:val="en-GB"/>
              </w:rPr>
              <w:t>1</w:t>
            </w:r>
          </w:p>
        </w:tc>
        <w:tc>
          <w:tcPr>
            <w:tcW w:w="1134" w:type="dxa"/>
            <w:shd w:val="clear" w:color="auto" w:fill="FFFFFF"/>
          </w:tcPr>
          <w:p w14:paraId="39C5920A" w14:textId="3FD83CFD" w:rsidR="00144B1E" w:rsidRPr="00B57B36" w:rsidRDefault="00497053" w:rsidP="008759F8">
            <w:pPr>
              <w:pStyle w:val="CETBodytext"/>
              <w:ind w:right="-1"/>
              <w:jc w:val="center"/>
              <w:rPr>
                <w:rFonts w:cs="Arial"/>
                <w:szCs w:val="18"/>
                <w:lang w:val="en-GB"/>
              </w:rPr>
            </w:pPr>
            <w:r>
              <w:rPr>
                <w:rFonts w:cs="Arial"/>
                <w:szCs w:val="18"/>
                <w:lang w:val="en-GB"/>
              </w:rPr>
              <w:t>59</w:t>
            </w:r>
            <w:r w:rsidR="00144B1E">
              <w:rPr>
                <w:rFonts w:cs="Arial"/>
                <w:szCs w:val="18"/>
                <w:lang w:val="en-GB"/>
              </w:rPr>
              <w:t>.0</w:t>
            </w:r>
          </w:p>
        </w:tc>
      </w:tr>
      <w:tr w:rsidR="00144B1E" w:rsidRPr="00B57B36" w14:paraId="6E1F28C0" w14:textId="77777777" w:rsidTr="008759F8">
        <w:tc>
          <w:tcPr>
            <w:tcW w:w="1134" w:type="dxa"/>
            <w:shd w:val="clear" w:color="auto" w:fill="FFFFFF"/>
          </w:tcPr>
          <w:p w14:paraId="5EA58D1F" w14:textId="0E76E279" w:rsidR="00144B1E" w:rsidRPr="00B57B36" w:rsidRDefault="00144B1E" w:rsidP="008759F8">
            <w:pPr>
              <w:pStyle w:val="CETBodytext"/>
              <w:ind w:right="-1"/>
              <w:jc w:val="left"/>
              <w:rPr>
                <w:rFonts w:cs="Arial"/>
                <w:szCs w:val="18"/>
                <w:lang w:val="en-GB"/>
              </w:rPr>
            </w:pPr>
            <w:r>
              <w:rPr>
                <w:lang w:val="en-GB"/>
              </w:rPr>
              <w:t>HTC</w:t>
            </w:r>
            <w:r w:rsidRPr="00A812BD">
              <w:rPr>
                <w:vertAlign w:val="subscript"/>
                <w:lang w:val="en-GB"/>
              </w:rPr>
              <w:t>CF</w:t>
            </w:r>
            <w:r>
              <w:rPr>
                <w:lang w:val="en-GB"/>
              </w:rPr>
              <w:t>_230</w:t>
            </w:r>
          </w:p>
        </w:tc>
        <w:tc>
          <w:tcPr>
            <w:tcW w:w="1134" w:type="dxa"/>
            <w:shd w:val="clear" w:color="auto" w:fill="FFFFFF"/>
          </w:tcPr>
          <w:p w14:paraId="1023DA0C" w14:textId="43D325E8" w:rsidR="00144B1E" w:rsidRPr="00B57B36" w:rsidRDefault="00144B1E" w:rsidP="008759F8">
            <w:pPr>
              <w:pStyle w:val="CETBodytext"/>
              <w:ind w:right="-1"/>
              <w:jc w:val="center"/>
              <w:rPr>
                <w:rFonts w:cs="Arial"/>
                <w:szCs w:val="18"/>
                <w:lang w:val="en-GB"/>
              </w:rPr>
            </w:pPr>
            <w:r>
              <w:rPr>
                <w:rFonts w:cs="Arial"/>
                <w:szCs w:val="18"/>
                <w:lang w:val="en-GB"/>
              </w:rPr>
              <w:t>40.4</w:t>
            </w:r>
          </w:p>
        </w:tc>
        <w:tc>
          <w:tcPr>
            <w:tcW w:w="1134" w:type="dxa"/>
            <w:shd w:val="clear" w:color="auto" w:fill="FFFFFF"/>
          </w:tcPr>
          <w:p w14:paraId="4A70B488" w14:textId="456D7CA2" w:rsidR="00144B1E" w:rsidRPr="00B57B36" w:rsidRDefault="00497053" w:rsidP="008759F8">
            <w:pPr>
              <w:pStyle w:val="CETBodytext"/>
              <w:ind w:right="-1"/>
              <w:jc w:val="center"/>
              <w:rPr>
                <w:rFonts w:cs="Arial"/>
                <w:szCs w:val="18"/>
                <w:lang w:val="en-GB"/>
              </w:rPr>
            </w:pPr>
            <w:r>
              <w:rPr>
                <w:rFonts w:cs="Arial"/>
                <w:szCs w:val="18"/>
                <w:lang w:val="en-GB"/>
              </w:rPr>
              <w:t>1</w:t>
            </w:r>
            <w:r w:rsidR="00144B1E">
              <w:rPr>
                <w:rFonts w:cs="Arial"/>
                <w:szCs w:val="18"/>
                <w:lang w:val="en-GB"/>
              </w:rPr>
              <w:t>.</w:t>
            </w:r>
            <w:r>
              <w:rPr>
                <w:rFonts w:cs="Arial"/>
                <w:szCs w:val="18"/>
                <w:lang w:val="en-GB"/>
              </w:rPr>
              <w:t>8</w:t>
            </w:r>
          </w:p>
        </w:tc>
        <w:tc>
          <w:tcPr>
            <w:tcW w:w="1134" w:type="dxa"/>
            <w:shd w:val="clear" w:color="auto" w:fill="FFFFFF"/>
          </w:tcPr>
          <w:p w14:paraId="60CAABC2" w14:textId="4269993D" w:rsidR="00144B1E" w:rsidRPr="00B57B36" w:rsidRDefault="00497053" w:rsidP="008759F8">
            <w:pPr>
              <w:pStyle w:val="CETBodytext"/>
              <w:ind w:right="-1"/>
              <w:jc w:val="center"/>
              <w:rPr>
                <w:rFonts w:cs="Arial"/>
                <w:szCs w:val="18"/>
                <w:lang w:val="en-GB"/>
              </w:rPr>
            </w:pPr>
            <w:r>
              <w:rPr>
                <w:rFonts w:cs="Arial"/>
                <w:szCs w:val="18"/>
                <w:lang w:val="en-GB"/>
              </w:rPr>
              <w:t>57</w:t>
            </w:r>
            <w:r w:rsidR="00144B1E">
              <w:rPr>
                <w:rFonts w:cs="Arial"/>
                <w:szCs w:val="18"/>
                <w:lang w:val="en-GB"/>
              </w:rPr>
              <w:t>.</w:t>
            </w:r>
            <w:r>
              <w:rPr>
                <w:rFonts w:cs="Arial"/>
                <w:szCs w:val="18"/>
                <w:lang w:val="en-GB"/>
              </w:rPr>
              <w:t>8</w:t>
            </w:r>
          </w:p>
        </w:tc>
      </w:tr>
      <w:tr w:rsidR="00144B1E" w:rsidRPr="00B57B36" w14:paraId="2C5C6AD4" w14:textId="77777777" w:rsidTr="008759F8">
        <w:tc>
          <w:tcPr>
            <w:tcW w:w="1134" w:type="dxa"/>
            <w:shd w:val="clear" w:color="auto" w:fill="FFFFFF"/>
          </w:tcPr>
          <w:p w14:paraId="3C6B4BB4" w14:textId="01DB0278" w:rsidR="00144B1E" w:rsidRDefault="00144B1E" w:rsidP="008759F8">
            <w:pPr>
              <w:pStyle w:val="CETBodytext"/>
              <w:ind w:right="-1"/>
              <w:jc w:val="left"/>
              <w:rPr>
                <w:rFonts w:cs="Arial"/>
                <w:szCs w:val="18"/>
                <w:lang w:val="en-GB"/>
              </w:rPr>
            </w:pPr>
            <w:r>
              <w:rPr>
                <w:lang w:val="en-GB"/>
              </w:rPr>
              <w:t>HTC</w:t>
            </w:r>
            <w:r w:rsidRPr="00A812BD">
              <w:rPr>
                <w:vertAlign w:val="subscript"/>
                <w:lang w:val="en-GB"/>
              </w:rPr>
              <w:t>CF</w:t>
            </w:r>
            <w:r>
              <w:rPr>
                <w:lang w:val="en-GB"/>
              </w:rPr>
              <w:t>_250</w:t>
            </w:r>
          </w:p>
        </w:tc>
        <w:tc>
          <w:tcPr>
            <w:tcW w:w="1134" w:type="dxa"/>
            <w:shd w:val="clear" w:color="auto" w:fill="FFFFFF"/>
          </w:tcPr>
          <w:p w14:paraId="7B441F44" w14:textId="469D27CE" w:rsidR="00144B1E" w:rsidRPr="00B57B36" w:rsidRDefault="00144B1E" w:rsidP="008759F8">
            <w:pPr>
              <w:pStyle w:val="CETBodytext"/>
              <w:ind w:right="-1"/>
              <w:jc w:val="center"/>
              <w:rPr>
                <w:rFonts w:cs="Arial"/>
                <w:szCs w:val="18"/>
                <w:lang w:val="en-GB"/>
              </w:rPr>
            </w:pPr>
            <w:r>
              <w:rPr>
                <w:rFonts w:cs="Arial"/>
                <w:szCs w:val="18"/>
                <w:lang w:val="en-GB"/>
              </w:rPr>
              <w:t>38.4</w:t>
            </w:r>
          </w:p>
        </w:tc>
        <w:tc>
          <w:tcPr>
            <w:tcW w:w="1134" w:type="dxa"/>
            <w:shd w:val="clear" w:color="auto" w:fill="FFFFFF"/>
          </w:tcPr>
          <w:p w14:paraId="7F705C99" w14:textId="7BE11AD2" w:rsidR="00144B1E" w:rsidRPr="00B57B36" w:rsidRDefault="00497053" w:rsidP="008759F8">
            <w:pPr>
              <w:pStyle w:val="CETBodytext"/>
              <w:ind w:right="-1"/>
              <w:jc w:val="center"/>
              <w:rPr>
                <w:rFonts w:cs="Arial"/>
                <w:szCs w:val="18"/>
                <w:lang w:val="en-GB"/>
              </w:rPr>
            </w:pPr>
            <w:r>
              <w:rPr>
                <w:rFonts w:cs="Arial"/>
                <w:szCs w:val="18"/>
                <w:lang w:val="en-GB"/>
              </w:rPr>
              <w:t>2</w:t>
            </w:r>
            <w:r w:rsidR="00144B1E">
              <w:rPr>
                <w:rFonts w:cs="Arial"/>
                <w:szCs w:val="18"/>
                <w:lang w:val="en-GB"/>
              </w:rPr>
              <w:t>.</w:t>
            </w:r>
            <w:r>
              <w:rPr>
                <w:rFonts w:cs="Arial"/>
                <w:szCs w:val="18"/>
                <w:lang w:val="en-GB"/>
              </w:rPr>
              <w:t>2</w:t>
            </w:r>
          </w:p>
        </w:tc>
        <w:tc>
          <w:tcPr>
            <w:tcW w:w="1134" w:type="dxa"/>
            <w:shd w:val="clear" w:color="auto" w:fill="FFFFFF"/>
          </w:tcPr>
          <w:p w14:paraId="149D652D" w14:textId="2AC97C7E" w:rsidR="00144B1E" w:rsidRPr="00B57B36" w:rsidRDefault="00497053" w:rsidP="008759F8">
            <w:pPr>
              <w:pStyle w:val="CETBodytext"/>
              <w:ind w:right="-1"/>
              <w:jc w:val="center"/>
              <w:rPr>
                <w:rFonts w:cs="Arial"/>
                <w:szCs w:val="18"/>
                <w:lang w:val="en-GB"/>
              </w:rPr>
            </w:pPr>
            <w:r>
              <w:rPr>
                <w:rFonts w:cs="Arial"/>
                <w:szCs w:val="18"/>
                <w:lang w:val="en-GB"/>
              </w:rPr>
              <w:t>59</w:t>
            </w:r>
            <w:r w:rsidR="00144B1E">
              <w:rPr>
                <w:rFonts w:cs="Arial"/>
                <w:szCs w:val="18"/>
                <w:lang w:val="en-GB"/>
              </w:rPr>
              <w:t>.4</w:t>
            </w:r>
          </w:p>
        </w:tc>
      </w:tr>
      <w:tr w:rsidR="00144B1E" w:rsidRPr="00B57B36" w14:paraId="66EC9A2D" w14:textId="77777777" w:rsidTr="008759F8">
        <w:tc>
          <w:tcPr>
            <w:tcW w:w="1134" w:type="dxa"/>
            <w:shd w:val="clear" w:color="auto" w:fill="FFFFFF"/>
          </w:tcPr>
          <w:p w14:paraId="707B152A" w14:textId="49FA6626" w:rsidR="00144B1E" w:rsidRDefault="00144B1E" w:rsidP="008759F8">
            <w:pPr>
              <w:pStyle w:val="CETBodytext"/>
              <w:ind w:right="-1"/>
              <w:jc w:val="left"/>
              <w:rPr>
                <w:rFonts w:cs="Arial"/>
                <w:szCs w:val="18"/>
                <w:lang w:val="en-GB"/>
              </w:rPr>
            </w:pPr>
            <w:r>
              <w:rPr>
                <w:lang w:val="en-GB"/>
              </w:rPr>
              <w:t>HTC</w:t>
            </w:r>
            <w:r w:rsidRPr="00A812BD">
              <w:rPr>
                <w:vertAlign w:val="subscript"/>
                <w:lang w:val="en-GB"/>
              </w:rPr>
              <w:t>CF</w:t>
            </w:r>
            <w:r>
              <w:rPr>
                <w:lang w:val="en-GB"/>
              </w:rPr>
              <w:t>_280</w:t>
            </w:r>
          </w:p>
        </w:tc>
        <w:tc>
          <w:tcPr>
            <w:tcW w:w="1134" w:type="dxa"/>
            <w:shd w:val="clear" w:color="auto" w:fill="FFFFFF"/>
          </w:tcPr>
          <w:p w14:paraId="3CE7D768" w14:textId="74414F9D" w:rsidR="00144B1E" w:rsidRDefault="00144B1E" w:rsidP="008759F8">
            <w:pPr>
              <w:pStyle w:val="CETBodytext"/>
              <w:ind w:right="-1"/>
              <w:jc w:val="center"/>
              <w:rPr>
                <w:rFonts w:cs="Arial"/>
                <w:szCs w:val="18"/>
                <w:lang w:val="en-GB"/>
              </w:rPr>
            </w:pPr>
            <w:r>
              <w:rPr>
                <w:rFonts w:cs="Arial"/>
                <w:szCs w:val="18"/>
                <w:lang w:val="en-GB"/>
              </w:rPr>
              <w:t>31.7</w:t>
            </w:r>
          </w:p>
        </w:tc>
        <w:tc>
          <w:tcPr>
            <w:tcW w:w="1134" w:type="dxa"/>
            <w:shd w:val="clear" w:color="auto" w:fill="FFFFFF"/>
          </w:tcPr>
          <w:p w14:paraId="253F8108" w14:textId="6FE61D73" w:rsidR="00144B1E" w:rsidRDefault="00910DA6" w:rsidP="008759F8">
            <w:pPr>
              <w:pStyle w:val="CETBodytext"/>
              <w:ind w:right="-1"/>
              <w:jc w:val="center"/>
              <w:rPr>
                <w:rFonts w:cs="Arial"/>
                <w:szCs w:val="18"/>
                <w:lang w:val="en-GB"/>
              </w:rPr>
            </w:pPr>
            <w:r>
              <w:rPr>
                <w:rFonts w:cs="Arial"/>
                <w:szCs w:val="18"/>
                <w:lang w:val="en-GB"/>
              </w:rPr>
              <w:t>4</w:t>
            </w:r>
            <w:r w:rsidR="00144B1E">
              <w:rPr>
                <w:rFonts w:cs="Arial"/>
                <w:szCs w:val="18"/>
                <w:lang w:val="en-GB"/>
              </w:rPr>
              <w:t>.</w:t>
            </w:r>
            <w:r>
              <w:rPr>
                <w:rFonts w:cs="Arial"/>
                <w:szCs w:val="18"/>
                <w:lang w:val="en-GB"/>
              </w:rPr>
              <w:t>0</w:t>
            </w:r>
          </w:p>
        </w:tc>
        <w:tc>
          <w:tcPr>
            <w:tcW w:w="1134" w:type="dxa"/>
            <w:shd w:val="clear" w:color="auto" w:fill="FFFFFF"/>
          </w:tcPr>
          <w:p w14:paraId="1045D7FE" w14:textId="51342798" w:rsidR="00144B1E" w:rsidRDefault="00497053" w:rsidP="008759F8">
            <w:pPr>
              <w:pStyle w:val="CETBodytext"/>
              <w:ind w:right="-1"/>
              <w:jc w:val="center"/>
              <w:rPr>
                <w:rFonts w:cs="Arial"/>
                <w:szCs w:val="18"/>
                <w:lang w:val="en-GB"/>
              </w:rPr>
            </w:pPr>
            <w:r>
              <w:rPr>
                <w:rFonts w:cs="Arial"/>
                <w:szCs w:val="18"/>
                <w:lang w:val="en-GB"/>
              </w:rPr>
              <w:t>64</w:t>
            </w:r>
            <w:r w:rsidR="00144B1E">
              <w:rPr>
                <w:rFonts w:cs="Arial"/>
                <w:szCs w:val="18"/>
                <w:lang w:val="en-GB"/>
              </w:rPr>
              <w:t>.</w:t>
            </w:r>
            <w:r>
              <w:rPr>
                <w:rFonts w:cs="Arial"/>
                <w:szCs w:val="18"/>
                <w:lang w:val="en-GB"/>
              </w:rPr>
              <w:t>3</w:t>
            </w:r>
          </w:p>
        </w:tc>
      </w:tr>
    </w:tbl>
    <w:p w14:paraId="1E0E679C" w14:textId="46C76131" w:rsidR="000D691F" w:rsidRDefault="000D691F" w:rsidP="000D691F">
      <w:pPr>
        <w:pStyle w:val="CETHeading1"/>
        <w:numPr>
          <w:ilvl w:val="0"/>
          <w:numId w:val="0"/>
        </w:numPr>
        <w:rPr>
          <w:b w:val="0"/>
          <w:sz w:val="18"/>
          <w:vertAlign w:val="subscript"/>
          <w:lang w:val="en-GB"/>
        </w:rPr>
      </w:pPr>
      <w:r>
        <w:rPr>
          <w:b w:val="0"/>
          <w:i/>
          <w:sz w:val="18"/>
          <w:lang w:val="en-GB"/>
        </w:rPr>
        <w:t>*</w:t>
      </w:r>
      <w:r w:rsidRPr="00144B1E">
        <w:rPr>
          <w:b w:val="0"/>
          <w:i/>
          <w:sz w:val="18"/>
          <w:lang w:val="en-GB"/>
        </w:rPr>
        <w:t>Evaluated by difference</w:t>
      </w:r>
      <w:r>
        <w:rPr>
          <w:b w:val="0"/>
          <w:i/>
          <w:sz w:val="18"/>
          <w:lang w:val="en-GB"/>
        </w:rPr>
        <w:t xml:space="preserve">: </w:t>
      </w:r>
      <w:r w:rsidRPr="0086002D">
        <w:rPr>
          <w:b w:val="0"/>
          <w:sz w:val="18"/>
          <w:lang w:val="en-GB"/>
        </w:rPr>
        <w:t>MY</w:t>
      </w:r>
      <w:r w:rsidRPr="0086002D">
        <w:rPr>
          <w:b w:val="0"/>
          <w:sz w:val="18"/>
          <w:vertAlign w:val="subscript"/>
          <w:lang w:val="en-GB"/>
        </w:rPr>
        <w:t>L</w:t>
      </w:r>
      <w:r w:rsidRPr="0086002D">
        <w:rPr>
          <w:b w:val="0"/>
          <w:sz w:val="18"/>
          <w:lang w:val="en-GB"/>
        </w:rPr>
        <w:t xml:space="preserve"> = 100 </w:t>
      </w:r>
      <w:r>
        <w:rPr>
          <w:b w:val="0"/>
          <w:sz w:val="18"/>
          <w:lang w:val="en-GB"/>
        </w:rPr>
        <w:t xml:space="preserve">– </w:t>
      </w:r>
      <w:r w:rsidRPr="00DF255F">
        <w:rPr>
          <w:b w:val="0"/>
          <w:sz w:val="18"/>
          <w:lang w:val="en-GB"/>
        </w:rPr>
        <w:t>MY</w:t>
      </w:r>
      <w:r>
        <w:rPr>
          <w:b w:val="0"/>
          <w:sz w:val="18"/>
          <w:vertAlign w:val="subscript"/>
          <w:lang w:val="en-GB"/>
        </w:rPr>
        <w:t>HC</w:t>
      </w:r>
      <w:r w:rsidRPr="0086002D">
        <w:rPr>
          <w:b w:val="0"/>
          <w:sz w:val="18"/>
          <w:lang w:val="en-GB"/>
        </w:rPr>
        <w:t xml:space="preserve"> – </w:t>
      </w:r>
      <w:r w:rsidRPr="00DF255F">
        <w:rPr>
          <w:b w:val="0"/>
          <w:sz w:val="18"/>
          <w:lang w:val="en-GB"/>
        </w:rPr>
        <w:t>MY</w:t>
      </w:r>
      <w:r>
        <w:rPr>
          <w:b w:val="0"/>
          <w:sz w:val="18"/>
          <w:vertAlign w:val="subscript"/>
          <w:lang w:val="en-GB"/>
        </w:rPr>
        <w:t>G</w:t>
      </w:r>
    </w:p>
    <w:p w14:paraId="69E85EAE" w14:textId="77777777" w:rsidR="000D691F" w:rsidRPr="0086002D" w:rsidRDefault="000D691F" w:rsidP="0086002D">
      <w:pPr>
        <w:pStyle w:val="CETBodytext"/>
        <w:rPr>
          <w:lang w:val="en-GB"/>
        </w:rPr>
      </w:pPr>
    </w:p>
    <w:p w14:paraId="2F55C170" w14:textId="4DB240C5" w:rsidR="0088120A" w:rsidRPr="0088120A" w:rsidRDefault="0088120A" w:rsidP="00FE0FD9">
      <w:pPr>
        <w:pStyle w:val="CETTabletitle"/>
        <w:jc w:val="both"/>
        <w:rPr>
          <w:i w:val="0"/>
        </w:rPr>
      </w:pPr>
      <w:r w:rsidRPr="0088120A">
        <w:rPr>
          <w:i w:val="0"/>
        </w:rPr>
        <w:lastRenderedPageBreak/>
        <w:t>Table</w:t>
      </w:r>
      <w:r>
        <w:rPr>
          <w:i w:val="0"/>
        </w:rPr>
        <w:t xml:space="preserve"> 2 shows the proximate and energy properties of CF hydrochars.</w:t>
      </w:r>
      <w:r w:rsidR="00FE0FD9">
        <w:rPr>
          <w:i w:val="0"/>
        </w:rPr>
        <w:t xml:space="preserve"> As commonly found in HTC literature, with the increase in temperature (and thus severity) of the reaction, </w:t>
      </w:r>
      <w:proofErr w:type="spellStart"/>
      <w:r w:rsidR="00FE0FD9">
        <w:rPr>
          <w:i w:val="0"/>
        </w:rPr>
        <w:t>hydroc</w:t>
      </w:r>
      <w:r w:rsidR="00C8051E">
        <w:rPr>
          <w:i w:val="0"/>
        </w:rPr>
        <w:t>h</w:t>
      </w:r>
      <w:r w:rsidR="00FE0FD9">
        <w:rPr>
          <w:i w:val="0"/>
        </w:rPr>
        <w:t>ars</w:t>
      </w:r>
      <w:proofErr w:type="spellEnd"/>
      <w:r w:rsidR="00FE0FD9">
        <w:rPr>
          <w:i w:val="0"/>
        </w:rPr>
        <w:t xml:space="preserve"> show</w:t>
      </w:r>
      <w:r w:rsidR="000D691F">
        <w:rPr>
          <w:i w:val="0"/>
        </w:rPr>
        <w:t>ed</w:t>
      </w:r>
      <w:r w:rsidR="00FE0FD9">
        <w:rPr>
          <w:i w:val="0"/>
        </w:rPr>
        <w:t xml:space="preserve"> an increase in the fixed carbon while a decrease in the volatile matter with a reduced ash content when compared to the starting material. The increase in fixed carbon and the reduction of ash content are both of great importance in determin</w:t>
      </w:r>
      <w:r w:rsidR="008874BE">
        <w:rPr>
          <w:i w:val="0"/>
        </w:rPr>
        <w:t>in</w:t>
      </w:r>
      <w:r w:rsidR="00FE0FD9">
        <w:rPr>
          <w:i w:val="0"/>
        </w:rPr>
        <w:t xml:space="preserve">g the quality of a biofuel due to the reactivity during combustion and the reduced possibility of slugging and fouling respectively </w:t>
      </w:r>
      <w:r w:rsidR="008874BE">
        <w:rPr>
          <w:i w:val="0"/>
        </w:rPr>
        <w:t>(Reza et al., 2013)</w:t>
      </w:r>
      <w:r w:rsidR="00FE0FD9">
        <w:rPr>
          <w:i w:val="0"/>
        </w:rPr>
        <w:t xml:space="preserve">.  </w:t>
      </w:r>
      <w:r w:rsidR="008874BE">
        <w:rPr>
          <w:i w:val="0"/>
        </w:rPr>
        <w:t>While the energy yield of the hydrochars maintained between 50 and 56% the EDR and the HHV, for the hydroc</w:t>
      </w:r>
      <w:r w:rsidR="00C8051E">
        <w:rPr>
          <w:i w:val="0"/>
        </w:rPr>
        <w:t>h</w:t>
      </w:r>
      <w:r w:rsidR="008874BE">
        <w:rPr>
          <w:i w:val="0"/>
        </w:rPr>
        <w:t>ar obtained at 280 °C, raised up to 159% and 27.7 MJ/kg respectively, showing the high potentially of the hydrochar as a bio-combustible in substitution or in a mix with standard coals.</w:t>
      </w:r>
    </w:p>
    <w:p w14:paraId="212BDA78" w14:textId="338924CE" w:rsidR="00851F03" w:rsidRDefault="00851F03" w:rsidP="00A812BD">
      <w:pPr>
        <w:pStyle w:val="CETTabletitle"/>
      </w:pPr>
      <w:r w:rsidRPr="00B57B36">
        <w:t xml:space="preserve">Table </w:t>
      </w:r>
      <w:r w:rsidR="00144B1E">
        <w:t>2</w:t>
      </w:r>
      <w:r w:rsidRPr="00B57B36">
        <w:t xml:space="preserve">: </w:t>
      </w:r>
      <w:r>
        <w:t xml:space="preserve">Proximate analysis and energy properties of raw </w:t>
      </w:r>
      <w:r w:rsidR="00144B1E">
        <w:t>C</w:t>
      </w:r>
      <w:r>
        <w:t>F and</w:t>
      </w:r>
      <w:r w:rsidR="00144B1E">
        <w:t xml:space="preserve"> corresponding</w:t>
      </w:r>
      <w:r>
        <w:t xml:space="preserve"> hydrochars. Proximate analysis performed in duplicate; average values are showed (RSD% </w:t>
      </w:r>
      <w:r>
        <w:rPr>
          <w:rStyle w:val="CETCaptionCarattere"/>
          <w:rFonts w:cs="Arial"/>
          <w:i/>
        </w:rPr>
        <w:t>≤ 1.</w:t>
      </w:r>
      <w:r w:rsidR="00144B1E">
        <w:rPr>
          <w:rStyle w:val="CETCaptionCarattere"/>
          <w:rFonts w:cs="Arial"/>
          <w:i/>
        </w:rPr>
        <w:t>5</w:t>
      </w:r>
      <w:r>
        <w:rPr>
          <w:rStyle w:val="CETCaptionCarattere"/>
          <w:rFonts w:cs="Arial"/>
          <w:i/>
        </w:rPr>
        <w:t>). Average values of three HHV measurements are reported (</w:t>
      </w:r>
      <w:r>
        <w:t xml:space="preserve">RSD% </w:t>
      </w:r>
      <w:r>
        <w:rPr>
          <w:rStyle w:val="CETCaptionCarattere"/>
          <w:rFonts w:cs="Arial"/>
          <w:i/>
        </w:rPr>
        <w:t>≤ 0.</w:t>
      </w:r>
      <w:r w:rsidR="00144B1E">
        <w:rPr>
          <w:rStyle w:val="CETCaptionCarattere"/>
          <w:rFonts w:cs="Arial"/>
          <w:i/>
        </w:rPr>
        <w:t>9</w:t>
      </w:r>
      <w:r>
        <w:rPr>
          <w:rStyle w:val="CETCaptionCarattere"/>
          <w:rFonts w:cs="Arial"/>
          <w: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276"/>
        <w:gridCol w:w="992"/>
        <w:gridCol w:w="1134"/>
      </w:tblGrid>
      <w:tr w:rsidR="00851F03" w:rsidRPr="00B57B36" w14:paraId="5A98667B" w14:textId="77777777" w:rsidTr="008759F8">
        <w:tc>
          <w:tcPr>
            <w:tcW w:w="1134" w:type="dxa"/>
            <w:vMerge w:val="restart"/>
            <w:tcBorders>
              <w:top w:val="single" w:sz="12" w:space="0" w:color="008000"/>
            </w:tcBorders>
            <w:shd w:val="clear" w:color="auto" w:fill="FFFFFF"/>
          </w:tcPr>
          <w:p w14:paraId="2A68F4DA" w14:textId="77777777" w:rsidR="00851F03" w:rsidRPr="00B57B36" w:rsidRDefault="00851F03" w:rsidP="008759F8">
            <w:pPr>
              <w:pStyle w:val="CETBodytext"/>
              <w:jc w:val="center"/>
              <w:rPr>
                <w:lang w:val="en-GB"/>
              </w:rPr>
            </w:pPr>
            <w:r>
              <w:rPr>
                <w:lang w:val="en-GB"/>
              </w:rPr>
              <w:t>Sample</w:t>
            </w:r>
          </w:p>
        </w:tc>
        <w:tc>
          <w:tcPr>
            <w:tcW w:w="3402" w:type="dxa"/>
            <w:gridSpan w:val="3"/>
            <w:tcBorders>
              <w:top w:val="single" w:sz="12" w:space="0" w:color="008000"/>
              <w:bottom w:val="single" w:sz="6" w:space="0" w:color="008000"/>
            </w:tcBorders>
            <w:shd w:val="clear" w:color="auto" w:fill="FFFFFF"/>
          </w:tcPr>
          <w:p w14:paraId="17861F12" w14:textId="13460F4C" w:rsidR="00851F03" w:rsidRPr="00B57B36" w:rsidRDefault="00851F03" w:rsidP="008759F8">
            <w:pPr>
              <w:pStyle w:val="CETBodytext"/>
              <w:ind w:right="-1"/>
              <w:jc w:val="center"/>
              <w:rPr>
                <w:rFonts w:cs="Arial"/>
                <w:szCs w:val="18"/>
                <w:lang w:val="en-GB"/>
              </w:rPr>
            </w:pPr>
            <w:r>
              <w:rPr>
                <w:rFonts w:cs="Arial"/>
                <w:szCs w:val="18"/>
                <w:lang w:val="en-GB"/>
              </w:rPr>
              <w:t xml:space="preserve">    Proximate Analysis (</w:t>
            </w:r>
            <w:proofErr w:type="spellStart"/>
            <w:r>
              <w:rPr>
                <w:rFonts w:cs="Arial"/>
                <w:szCs w:val="18"/>
                <w:lang w:val="en-GB"/>
              </w:rPr>
              <w:t>wt</w:t>
            </w:r>
            <w:proofErr w:type="spellEnd"/>
            <w:r>
              <w:rPr>
                <w:rFonts w:cs="Arial"/>
                <w:szCs w:val="18"/>
                <w:lang w:val="en-GB"/>
              </w:rPr>
              <w:t xml:space="preserve">% </w:t>
            </w:r>
            <w:proofErr w:type="spellStart"/>
            <w:r>
              <w:rPr>
                <w:rFonts w:cs="Arial"/>
                <w:szCs w:val="18"/>
                <w:lang w:val="en-GB"/>
              </w:rPr>
              <w:t>d.b</w:t>
            </w:r>
            <w:proofErr w:type="spellEnd"/>
            <w:r>
              <w:rPr>
                <w:rFonts w:cs="Arial"/>
                <w:szCs w:val="18"/>
                <w:lang w:val="en-GB"/>
              </w:rPr>
              <w:t>.)</w:t>
            </w:r>
          </w:p>
        </w:tc>
        <w:tc>
          <w:tcPr>
            <w:tcW w:w="3402" w:type="dxa"/>
            <w:gridSpan w:val="3"/>
            <w:tcBorders>
              <w:top w:val="single" w:sz="12" w:space="0" w:color="008000"/>
              <w:bottom w:val="single" w:sz="6" w:space="0" w:color="008000"/>
            </w:tcBorders>
            <w:shd w:val="clear" w:color="auto" w:fill="FFFFFF"/>
          </w:tcPr>
          <w:p w14:paraId="0F62C125" w14:textId="77777777" w:rsidR="00851F03" w:rsidRPr="00B57B36" w:rsidRDefault="00851F03" w:rsidP="008759F8">
            <w:pPr>
              <w:pStyle w:val="CETBodytext"/>
              <w:ind w:right="-1"/>
              <w:jc w:val="center"/>
              <w:rPr>
                <w:rFonts w:cs="Arial"/>
                <w:szCs w:val="18"/>
                <w:lang w:val="en-GB"/>
              </w:rPr>
            </w:pPr>
            <w:r>
              <w:rPr>
                <w:rFonts w:cs="Arial"/>
                <w:szCs w:val="18"/>
                <w:lang w:val="en-GB"/>
              </w:rPr>
              <w:t>Energy Properties</w:t>
            </w:r>
          </w:p>
        </w:tc>
      </w:tr>
      <w:tr w:rsidR="00851F03" w:rsidRPr="00B57B36" w14:paraId="4A486CB6" w14:textId="77777777" w:rsidTr="008759F8">
        <w:tc>
          <w:tcPr>
            <w:tcW w:w="1134" w:type="dxa"/>
            <w:vMerge/>
            <w:tcBorders>
              <w:bottom w:val="single" w:sz="6" w:space="0" w:color="008000"/>
            </w:tcBorders>
            <w:shd w:val="clear" w:color="auto" w:fill="FFFFFF"/>
          </w:tcPr>
          <w:p w14:paraId="23A065CF" w14:textId="77777777" w:rsidR="00851F03" w:rsidRPr="00B57B36" w:rsidRDefault="00851F03" w:rsidP="008759F8">
            <w:pPr>
              <w:pStyle w:val="CETBodytext"/>
              <w:rPr>
                <w:lang w:val="en-GB"/>
              </w:rPr>
            </w:pPr>
          </w:p>
        </w:tc>
        <w:tc>
          <w:tcPr>
            <w:tcW w:w="1134" w:type="dxa"/>
            <w:tcBorders>
              <w:top w:val="single" w:sz="12" w:space="0" w:color="008000"/>
              <w:bottom w:val="single" w:sz="6" w:space="0" w:color="008000"/>
            </w:tcBorders>
            <w:shd w:val="clear" w:color="auto" w:fill="FFFFFF"/>
          </w:tcPr>
          <w:p w14:paraId="5B6E89F8" w14:textId="77777777" w:rsidR="00851F03" w:rsidRPr="00B57B36" w:rsidRDefault="00851F03" w:rsidP="008759F8">
            <w:pPr>
              <w:pStyle w:val="CETBodytext"/>
              <w:jc w:val="center"/>
              <w:rPr>
                <w:lang w:val="en-GB"/>
              </w:rPr>
            </w:pPr>
            <w:r>
              <w:rPr>
                <w:lang w:val="en-GB"/>
              </w:rPr>
              <w:t>VM</w:t>
            </w:r>
          </w:p>
        </w:tc>
        <w:tc>
          <w:tcPr>
            <w:tcW w:w="1134" w:type="dxa"/>
            <w:tcBorders>
              <w:top w:val="single" w:sz="12" w:space="0" w:color="008000"/>
              <w:bottom w:val="single" w:sz="6" w:space="0" w:color="008000"/>
            </w:tcBorders>
            <w:shd w:val="clear" w:color="auto" w:fill="FFFFFF"/>
          </w:tcPr>
          <w:p w14:paraId="3AAFCBC8" w14:textId="0016EE96" w:rsidR="00851F03" w:rsidRPr="00B57B36" w:rsidRDefault="000D691F" w:rsidP="008759F8">
            <w:pPr>
              <w:pStyle w:val="CETBodytext"/>
              <w:jc w:val="center"/>
              <w:rPr>
                <w:lang w:val="en-GB"/>
              </w:rPr>
            </w:pPr>
            <w:r>
              <w:rPr>
                <w:lang w:val="en-GB"/>
              </w:rPr>
              <w:t>A</w:t>
            </w:r>
            <w:r w:rsidR="00144B1E">
              <w:rPr>
                <w:lang w:val="en-GB"/>
              </w:rPr>
              <w:t>sh</w:t>
            </w:r>
          </w:p>
        </w:tc>
        <w:tc>
          <w:tcPr>
            <w:tcW w:w="1134" w:type="dxa"/>
            <w:tcBorders>
              <w:top w:val="single" w:sz="12" w:space="0" w:color="008000"/>
              <w:bottom w:val="single" w:sz="6" w:space="0" w:color="008000"/>
            </w:tcBorders>
            <w:shd w:val="clear" w:color="auto" w:fill="FFFFFF"/>
          </w:tcPr>
          <w:p w14:paraId="05298596" w14:textId="6DC96E76" w:rsidR="00851F03" w:rsidRPr="00B57B36" w:rsidRDefault="00851F03" w:rsidP="008759F8">
            <w:pPr>
              <w:pStyle w:val="CETBodytext"/>
              <w:ind w:right="-1"/>
              <w:jc w:val="center"/>
              <w:rPr>
                <w:rFonts w:cs="Arial"/>
                <w:szCs w:val="18"/>
                <w:lang w:val="en-GB"/>
              </w:rPr>
            </w:pPr>
            <w:r>
              <w:rPr>
                <w:rFonts w:cs="Arial"/>
                <w:szCs w:val="18"/>
                <w:lang w:val="en-GB"/>
              </w:rPr>
              <w:t>FC</w:t>
            </w:r>
            <w:r w:rsidR="00144B1E">
              <w:rPr>
                <w:rFonts w:cs="Arial"/>
                <w:szCs w:val="18"/>
                <w:lang w:val="en-GB"/>
              </w:rPr>
              <w:t>*</w:t>
            </w:r>
          </w:p>
        </w:tc>
        <w:tc>
          <w:tcPr>
            <w:tcW w:w="1276" w:type="dxa"/>
            <w:tcBorders>
              <w:top w:val="single" w:sz="12" w:space="0" w:color="008000"/>
              <w:bottom w:val="single" w:sz="6" w:space="0" w:color="008000"/>
            </w:tcBorders>
            <w:shd w:val="clear" w:color="auto" w:fill="FFFFFF"/>
          </w:tcPr>
          <w:p w14:paraId="24F67B60" w14:textId="77777777" w:rsidR="00851F03" w:rsidRPr="00350015" w:rsidRDefault="00851F03" w:rsidP="008759F8">
            <w:pPr>
              <w:pStyle w:val="CETBodytext"/>
              <w:ind w:right="-1"/>
              <w:jc w:val="center"/>
              <w:rPr>
                <w:rFonts w:cs="Arial"/>
                <w:szCs w:val="18"/>
                <w:lang w:val="en-GB"/>
              </w:rPr>
            </w:pPr>
            <w:r>
              <w:rPr>
                <w:rFonts w:cs="Arial"/>
                <w:szCs w:val="18"/>
                <w:lang w:val="en-GB"/>
              </w:rPr>
              <w:t>HHV (MJ kg</w:t>
            </w:r>
            <w:r>
              <w:rPr>
                <w:rFonts w:cs="Arial"/>
                <w:szCs w:val="18"/>
                <w:vertAlign w:val="superscript"/>
                <w:lang w:val="en-GB"/>
              </w:rPr>
              <w:t>-1</w:t>
            </w:r>
            <w:r>
              <w:rPr>
                <w:rFonts w:cs="Arial"/>
                <w:szCs w:val="18"/>
                <w:lang w:val="en-GB"/>
              </w:rPr>
              <w:t>)</w:t>
            </w:r>
          </w:p>
        </w:tc>
        <w:tc>
          <w:tcPr>
            <w:tcW w:w="992" w:type="dxa"/>
            <w:tcBorders>
              <w:top w:val="single" w:sz="12" w:space="0" w:color="008000"/>
              <w:bottom w:val="single" w:sz="6" w:space="0" w:color="008000"/>
            </w:tcBorders>
            <w:shd w:val="clear" w:color="auto" w:fill="FFFFFF"/>
          </w:tcPr>
          <w:p w14:paraId="1EE7C7FA" w14:textId="77777777" w:rsidR="00851F03" w:rsidRPr="00B57B36" w:rsidRDefault="00851F03" w:rsidP="008759F8">
            <w:pPr>
              <w:pStyle w:val="CETBodytext"/>
              <w:ind w:right="-1"/>
              <w:jc w:val="center"/>
              <w:rPr>
                <w:rFonts w:cs="Arial"/>
                <w:szCs w:val="18"/>
                <w:lang w:val="en-GB"/>
              </w:rPr>
            </w:pPr>
            <w:r>
              <w:rPr>
                <w:rFonts w:cs="Arial"/>
                <w:szCs w:val="18"/>
                <w:lang w:val="en-GB"/>
              </w:rPr>
              <w:t>EY (%)</w:t>
            </w:r>
          </w:p>
        </w:tc>
        <w:tc>
          <w:tcPr>
            <w:tcW w:w="1134" w:type="dxa"/>
            <w:tcBorders>
              <w:top w:val="single" w:sz="12" w:space="0" w:color="008000"/>
              <w:bottom w:val="single" w:sz="6" w:space="0" w:color="008000"/>
            </w:tcBorders>
            <w:shd w:val="clear" w:color="auto" w:fill="FFFFFF"/>
          </w:tcPr>
          <w:p w14:paraId="3CEF7AD7" w14:textId="6075C991" w:rsidR="00851F03" w:rsidRPr="00B57B36" w:rsidRDefault="00851F03" w:rsidP="008759F8">
            <w:pPr>
              <w:pStyle w:val="CETBodytext"/>
              <w:ind w:right="-1"/>
              <w:jc w:val="center"/>
              <w:rPr>
                <w:rFonts w:cs="Arial"/>
                <w:szCs w:val="18"/>
                <w:lang w:val="en-GB"/>
              </w:rPr>
            </w:pPr>
            <w:r>
              <w:rPr>
                <w:rFonts w:cs="Arial"/>
                <w:szCs w:val="18"/>
                <w:lang w:val="en-GB"/>
              </w:rPr>
              <w:t>E</w:t>
            </w:r>
            <w:r w:rsidR="00A812BD">
              <w:rPr>
                <w:rFonts w:cs="Arial"/>
                <w:szCs w:val="18"/>
                <w:lang w:val="en-GB"/>
              </w:rPr>
              <w:t>D</w:t>
            </w:r>
            <w:r>
              <w:rPr>
                <w:rFonts w:cs="Arial"/>
                <w:szCs w:val="18"/>
                <w:lang w:val="en-GB"/>
              </w:rPr>
              <w:t>R (%)</w:t>
            </w:r>
          </w:p>
        </w:tc>
      </w:tr>
      <w:tr w:rsidR="00851F03" w:rsidRPr="00B57B36" w14:paraId="697CD5F7" w14:textId="77777777" w:rsidTr="008759F8">
        <w:tc>
          <w:tcPr>
            <w:tcW w:w="1134" w:type="dxa"/>
            <w:shd w:val="clear" w:color="auto" w:fill="FFFFFF"/>
          </w:tcPr>
          <w:p w14:paraId="577F5D74" w14:textId="6B7B8AB1" w:rsidR="00851F03" w:rsidRDefault="00851F03" w:rsidP="008759F8">
            <w:pPr>
              <w:pStyle w:val="CETBodytext"/>
              <w:jc w:val="left"/>
              <w:rPr>
                <w:lang w:val="en-GB"/>
              </w:rPr>
            </w:pPr>
            <w:proofErr w:type="spellStart"/>
            <w:r>
              <w:rPr>
                <w:lang w:val="en-GB"/>
              </w:rPr>
              <w:t>C</w:t>
            </w:r>
            <w:r w:rsidR="00A812BD">
              <w:rPr>
                <w:lang w:val="en-GB"/>
              </w:rPr>
              <w:t>F</w:t>
            </w:r>
            <w:r w:rsidR="00A812BD" w:rsidRPr="00A812BD">
              <w:rPr>
                <w:vertAlign w:val="subscript"/>
                <w:lang w:val="en-GB"/>
              </w:rPr>
              <w:t>raw</w:t>
            </w:r>
            <w:proofErr w:type="spellEnd"/>
          </w:p>
        </w:tc>
        <w:tc>
          <w:tcPr>
            <w:tcW w:w="1134" w:type="dxa"/>
            <w:shd w:val="clear" w:color="auto" w:fill="FFFFFF"/>
          </w:tcPr>
          <w:p w14:paraId="4C311517" w14:textId="1E03FFBC" w:rsidR="00851F03" w:rsidRPr="00B57B36" w:rsidRDefault="00851F03" w:rsidP="008759F8">
            <w:pPr>
              <w:pStyle w:val="CETBodytext"/>
              <w:jc w:val="center"/>
              <w:rPr>
                <w:lang w:val="en-GB"/>
              </w:rPr>
            </w:pPr>
            <w:r>
              <w:rPr>
                <w:lang w:val="en-GB"/>
              </w:rPr>
              <w:t>7</w:t>
            </w:r>
            <w:r w:rsidR="00A812BD">
              <w:rPr>
                <w:lang w:val="en-GB"/>
              </w:rPr>
              <w:t>1</w:t>
            </w:r>
            <w:r>
              <w:rPr>
                <w:lang w:val="en-GB"/>
              </w:rPr>
              <w:t>.</w:t>
            </w:r>
            <w:r w:rsidR="00A812BD">
              <w:rPr>
                <w:lang w:val="en-GB"/>
              </w:rPr>
              <w:t>9</w:t>
            </w:r>
          </w:p>
        </w:tc>
        <w:tc>
          <w:tcPr>
            <w:tcW w:w="1134" w:type="dxa"/>
            <w:shd w:val="clear" w:color="auto" w:fill="FFFFFF"/>
          </w:tcPr>
          <w:p w14:paraId="1202E70E" w14:textId="3FF36691" w:rsidR="00851F03" w:rsidRPr="00B57B36" w:rsidRDefault="00A812BD" w:rsidP="008759F8">
            <w:pPr>
              <w:pStyle w:val="CETBodytext"/>
              <w:jc w:val="center"/>
              <w:rPr>
                <w:lang w:val="en-GB"/>
              </w:rPr>
            </w:pPr>
            <w:r>
              <w:rPr>
                <w:lang w:val="en-GB"/>
              </w:rPr>
              <w:t>2</w:t>
            </w:r>
            <w:r w:rsidR="00851F03">
              <w:rPr>
                <w:lang w:val="en-GB"/>
              </w:rPr>
              <w:t>.</w:t>
            </w:r>
            <w:r>
              <w:rPr>
                <w:lang w:val="en-GB"/>
              </w:rPr>
              <w:t>6</w:t>
            </w:r>
          </w:p>
        </w:tc>
        <w:tc>
          <w:tcPr>
            <w:tcW w:w="1134" w:type="dxa"/>
            <w:shd w:val="clear" w:color="auto" w:fill="FFFFFF"/>
          </w:tcPr>
          <w:p w14:paraId="1466B372" w14:textId="0DED97B1" w:rsidR="00851F03" w:rsidRPr="00B57B36" w:rsidRDefault="00A812BD" w:rsidP="008759F8">
            <w:pPr>
              <w:pStyle w:val="CETBodytext"/>
              <w:ind w:right="-1"/>
              <w:jc w:val="center"/>
              <w:rPr>
                <w:rFonts w:cs="Arial"/>
                <w:szCs w:val="18"/>
                <w:lang w:val="en-GB"/>
              </w:rPr>
            </w:pPr>
            <w:r>
              <w:rPr>
                <w:rFonts w:cs="Arial"/>
                <w:szCs w:val="18"/>
                <w:lang w:val="en-GB"/>
              </w:rPr>
              <w:t>25.6</w:t>
            </w:r>
          </w:p>
        </w:tc>
        <w:tc>
          <w:tcPr>
            <w:tcW w:w="1276" w:type="dxa"/>
            <w:shd w:val="clear" w:color="auto" w:fill="FFFFFF"/>
          </w:tcPr>
          <w:p w14:paraId="42FEC819" w14:textId="19FC243C" w:rsidR="00851F03" w:rsidRPr="00B57B36" w:rsidRDefault="00851F03" w:rsidP="008759F8">
            <w:pPr>
              <w:pStyle w:val="CETBodytext"/>
              <w:ind w:right="-1"/>
              <w:jc w:val="center"/>
              <w:rPr>
                <w:rFonts w:cs="Arial"/>
                <w:szCs w:val="18"/>
                <w:lang w:val="en-GB"/>
              </w:rPr>
            </w:pPr>
            <w:r>
              <w:rPr>
                <w:rFonts w:cs="Arial"/>
                <w:szCs w:val="18"/>
                <w:lang w:val="en-GB"/>
              </w:rPr>
              <w:t>1</w:t>
            </w:r>
            <w:r w:rsidR="00A812BD">
              <w:rPr>
                <w:rFonts w:cs="Arial"/>
                <w:szCs w:val="18"/>
                <w:lang w:val="en-GB"/>
              </w:rPr>
              <w:t>7</w:t>
            </w:r>
            <w:r>
              <w:rPr>
                <w:rFonts w:cs="Arial"/>
                <w:szCs w:val="18"/>
                <w:lang w:val="en-GB"/>
              </w:rPr>
              <w:t>.</w:t>
            </w:r>
            <w:r w:rsidR="00A812BD">
              <w:rPr>
                <w:rFonts w:cs="Arial"/>
                <w:szCs w:val="18"/>
                <w:lang w:val="en-GB"/>
              </w:rPr>
              <w:t>4</w:t>
            </w:r>
          </w:p>
        </w:tc>
        <w:tc>
          <w:tcPr>
            <w:tcW w:w="992" w:type="dxa"/>
            <w:shd w:val="clear" w:color="auto" w:fill="FFFFFF"/>
          </w:tcPr>
          <w:p w14:paraId="434F3CF3" w14:textId="77777777" w:rsidR="00851F03" w:rsidRPr="00B57B36" w:rsidRDefault="00851F03" w:rsidP="008759F8">
            <w:pPr>
              <w:pStyle w:val="CETBodytext"/>
              <w:ind w:right="-1"/>
              <w:jc w:val="center"/>
              <w:rPr>
                <w:rFonts w:cs="Arial"/>
                <w:szCs w:val="18"/>
                <w:lang w:val="en-GB"/>
              </w:rPr>
            </w:pPr>
            <w:r>
              <w:rPr>
                <w:rFonts w:cs="Arial"/>
                <w:szCs w:val="18"/>
                <w:lang w:val="en-GB"/>
              </w:rPr>
              <w:t>100.0</w:t>
            </w:r>
          </w:p>
        </w:tc>
        <w:tc>
          <w:tcPr>
            <w:tcW w:w="1134" w:type="dxa"/>
            <w:shd w:val="clear" w:color="auto" w:fill="FFFFFF"/>
          </w:tcPr>
          <w:p w14:paraId="51E21642" w14:textId="77777777" w:rsidR="00851F03" w:rsidRPr="00B57B36" w:rsidRDefault="00851F03" w:rsidP="008759F8">
            <w:pPr>
              <w:pStyle w:val="CETBodytext"/>
              <w:ind w:right="-1"/>
              <w:jc w:val="center"/>
              <w:rPr>
                <w:rFonts w:cs="Arial"/>
                <w:szCs w:val="18"/>
                <w:lang w:val="en-GB"/>
              </w:rPr>
            </w:pPr>
            <w:r>
              <w:rPr>
                <w:rFonts w:cs="Arial"/>
                <w:szCs w:val="18"/>
                <w:lang w:val="en-GB"/>
              </w:rPr>
              <w:t>-</w:t>
            </w:r>
          </w:p>
        </w:tc>
      </w:tr>
      <w:tr w:rsidR="00851F03" w:rsidRPr="00B57B36" w14:paraId="5AEF126A" w14:textId="77777777" w:rsidTr="008759F8">
        <w:tc>
          <w:tcPr>
            <w:tcW w:w="1134" w:type="dxa"/>
            <w:shd w:val="clear" w:color="auto" w:fill="FFFFFF"/>
          </w:tcPr>
          <w:p w14:paraId="75294576" w14:textId="01C5A523" w:rsidR="00851F03" w:rsidRPr="00B57B36" w:rsidRDefault="00A812BD" w:rsidP="008759F8">
            <w:pPr>
              <w:pStyle w:val="CETBodytext"/>
              <w:jc w:val="left"/>
              <w:rPr>
                <w:lang w:val="en-GB"/>
              </w:rPr>
            </w:pPr>
            <w:r>
              <w:rPr>
                <w:lang w:val="en-GB"/>
              </w:rPr>
              <w:t>HC</w:t>
            </w:r>
            <w:r w:rsidR="00851F03" w:rsidRPr="00A812BD">
              <w:rPr>
                <w:vertAlign w:val="subscript"/>
                <w:lang w:val="en-GB"/>
              </w:rPr>
              <w:t>C</w:t>
            </w:r>
            <w:r w:rsidRPr="00A812BD">
              <w:rPr>
                <w:vertAlign w:val="subscript"/>
                <w:lang w:val="en-GB"/>
              </w:rPr>
              <w:t>F</w:t>
            </w:r>
            <w:r>
              <w:rPr>
                <w:lang w:val="en-GB"/>
              </w:rPr>
              <w:t>20</w:t>
            </w:r>
            <w:r w:rsidR="00851F03">
              <w:rPr>
                <w:lang w:val="en-GB"/>
              </w:rPr>
              <w:t>0</w:t>
            </w:r>
          </w:p>
        </w:tc>
        <w:tc>
          <w:tcPr>
            <w:tcW w:w="1134" w:type="dxa"/>
            <w:shd w:val="clear" w:color="auto" w:fill="FFFFFF"/>
          </w:tcPr>
          <w:p w14:paraId="4B5AACD0" w14:textId="45A55644" w:rsidR="00851F03" w:rsidRPr="00B57B36" w:rsidRDefault="00A812BD" w:rsidP="008759F8">
            <w:pPr>
              <w:pStyle w:val="CETBodytext"/>
              <w:jc w:val="center"/>
              <w:rPr>
                <w:lang w:val="en-GB"/>
              </w:rPr>
            </w:pPr>
            <w:r>
              <w:rPr>
                <w:lang w:val="en-GB"/>
              </w:rPr>
              <w:t>57.4</w:t>
            </w:r>
          </w:p>
        </w:tc>
        <w:tc>
          <w:tcPr>
            <w:tcW w:w="1134" w:type="dxa"/>
            <w:shd w:val="clear" w:color="auto" w:fill="FFFFFF"/>
          </w:tcPr>
          <w:p w14:paraId="70A48598" w14:textId="3A425B66" w:rsidR="00851F03" w:rsidRPr="00B57B36" w:rsidRDefault="00A812BD" w:rsidP="008759F8">
            <w:pPr>
              <w:pStyle w:val="CETBodytext"/>
              <w:jc w:val="center"/>
              <w:rPr>
                <w:lang w:val="en-GB"/>
              </w:rPr>
            </w:pPr>
            <w:r>
              <w:rPr>
                <w:lang w:val="en-GB"/>
              </w:rPr>
              <w:t>0</w:t>
            </w:r>
            <w:r w:rsidR="00851F03">
              <w:rPr>
                <w:lang w:val="en-GB"/>
              </w:rPr>
              <w:t>.</w:t>
            </w:r>
            <w:r>
              <w:rPr>
                <w:lang w:val="en-GB"/>
              </w:rPr>
              <w:t>6</w:t>
            </w:r>
          </w:p>
        </w:tc>
        <w:tc>
          <w:tcPr>
            <w:tcW w:w="1134" w:type="dxa"/>
            <w:shd w:val="clear" w:color="auto" w:fill="FFFFFF"/>
          </w:tcPr>
          <w:p w14:paraId="72A616D8" w14:textId="23172D7C" w:rsidR="00851F03" w:rsidRPr="00B57B36" w:rsidRDefault="00A812BD" w:rsidP="008759F8">
            <w:pPr>
              <w:pStyle w:val="CETBodytext"/>
              <w:ind w:right="-1"/>
              <w:jc w:val="center"/>
              <w:rPr>
                <w:rFonts w:cs="Arial"/>
                <w:szCs w:val="18"/>
                <w:lang w:val="en-GB"/>
              </w:rPr>
            </w:pPr>
            <w:r>
              <w:rPr>
                <w:rFonts w:cs="Arial"/>
                <w:szCs w:val="18"/>
                <w:lang w:val="en-GB"/>
              </w:rPr>
              <w:t>42.0</w:t>
            </w:r>
          </w:p>
        </w:tc>
        <w:tc>
          <w:tcPr>
            <w:tcW w:w="1276" w:type="dxa"/>
            <w:shd w:val="clear" w:color="auto" w:fill="FFFFFF"/>
          </w:tcPr>
          <w:p w14:paraId="68C75BC5" w14:textId="62EAAAE3" w:rsidR="00851F03" w:rsidRPr="00B57B36" w:rsidRDefault="00A812BD" w:rsidP="008759F8">
            <w:pPr>
              <w:pStyle w:val="CETBodytext"/>
              <w:ind w:right="-1"/>
              <w:jc w:val="center"/>
              <w:rPr>
                <w:rFonts w:cs="Arial"/>
                <w:szCs w:val="18"/>
                <w:lang w:val="en-GB"/>
              </w:rPr>
            </w:pPr>
            <w:r>
              <w:rPr>
                <w:rFonts w:cs="Arial"/>
                <w:szCs w:val="18"/>
                <w:lang w:val="en-GB"/>
              </w:rPr>
              <w:t>23.5</w:t>
            </w:r>
          </w:p>
        </w:tc>
        <w:tc>
          <w:tcPr>
            <w:tcW w:w="992" w:type="dxa"/>
            <w:shd w:val="clear" w:color="auto" w:fill="FFFFFF"/>
          </w:tcPr>
          <w:p w14:paraId="431885C8" w14:textId="25EAC31A" w:rsidR="00851F03" w:rsidRPr="00B57B36" w:rsidRDefault="00A812BD" w:rsidP="008759F8">
            <w:pPr>
              <w:pStyle w:val="CETBodytext"/>
              <w:ind w:right="-1"/>
              <w:jc w:val="center"/>
              <w:rPr>
                <w:rFonts w:cs="Arial"/>
                <w:szCs w:val="18"/>
                <w:lang w:val="en-GB"/>
              </w:rPr>
            </w:pPr>
            <w:r>
              <w:rPr>
                <w:rFonts w:cs="Arial"/>
                <w:szCs w:val="18"/>
                <w:lang w:val="en-GB"/>
              </w:rPr>
              <w:t>53.9</w:t>
            </w:r>
          </w:p>
        </w:tc>
        <w:tc>
          <w:tcPr>
            <w:tcW w:w="1134" w:type="dxa"/>
            <w:shd w:val="clear" w:color="auto" w:fill="FFFFFF"/>
          </w:tcPr>
          <w:p w14:paraId="1ED1351B" w14:textId="1223BE5E" w:rsidR="00851F03" w:rsidRPr="00B57B36" w:rsidRDefault="00A812BD" w:rsidP="008759F8">
            <w:pPr>
              <w:pStyle w:val="CETBodytext"/>
              <w:ind w:right="-1"/>
              <w:jc w:val="center"/>
              <w:rPr>
                <w:rFonts w:cs="Arial"/>
                <w:szCs w:val="18"/>
                <w:lang w:val="en-GB"/>
              </w:rPr>
            </w:pPr>
            <w:r>
              <w:rPr>
                <w:rFonts w:cs="Arial"/>
                <w:szCs w:val="18"/>
                <w:lang w:val="en-GB"/>
              </w:rPr>
              <w:t>13</w:t>
            </w:r>
            <w:r w:rsidR="00851F03">
              <w:rPr>
                <w:rFonts w:cs="Arial"/>
                <w:szCs w:val="18"/>
                <w:lang w:val="en-GB"/>
              </w:rPr>
              <w:t>5</w:t>
            </w:r>
          </w:p>
        </w:tc>
      </w:tr>
      <w:tr w:rsidR="00851F03" w:rsidRPr="00B57B36" w14:paraId="3EC9C569" w14:textId="77777777" w:rsidTr="008759F8">
        <w:tc>
          <w:tcPr>
            <w:tcW w:w="1134" w:type="dxa"/>
            <w:shd w:val="clear" w:color="auto" w:fill="FFFFFF"/>
          </w:tcPr>
          <w:p w14:paraId="20A262E6" w14:textId="165CF0FB" w:rsidR="00851F03" w:rsidRPr="00B57B36" w:rsidRDefault="00A812BD" w:rsidP="008759F8">
            <w:pPr>
              <w:pStyle w:val="CETBodytext"/>
              <w:ind w:right="-1"/>
              <w:jc w:val="left"/>
              <w:rPr>
                <w:rFonts w:cs="Arial"/>
                <w:szCs w:val="18"/>
                <w:lang w:val="en-GB"/>
              </w:rPr>
            </w:pPr>
            <w:r>
              <w:rPr>
                <w:lang w:val="en-GB"/>
              </w:rPr>
              <w:t>HC</w:t>
            </w:r>
            <w:r w:rsidRPr="00A812BD">
              <w:rPr>
                <w:vertAlign w:val="subscript"/>
                <w:lang w:val="en-GB"/>
              </w:rPr>
              <w:t>CF</w:t>
            </w:r>
            <w:r>
              <w:rPr>
                <w:lang w:val="en-GB"/>
              </w:rPr>
              <w:t>230</w:t>
            </w:r>
          </w:p>
        </w:tc>
        <w:tc>
          <w:tcPr>
            <w:tcW w:w="1134" w:type="dxa"/>
            <w:shd w:val="clear" w:color="auto" w:fill="FFFFFF"/>
          </w:tcPr>
          <w:p w14:paraId="10B8C4BC" w14:textId="1B6F892B" w:rsidR="00851F03" w:rsidRPr="00B57B36" w:rsidRDefault="00A812BD" w:rsidP="008759F8">
            <w:pPr>
              <w:pStyle w:val="CETBodytext"/>
              <w:ind w:right="-1"/>
              <w:jc w:val="center"/>
              <w:rPr>
                <w:rFonts w:cs="Arial"/>
                <w:szCs w:val="18"/>
                <w:lang w:val="en-GB"/>
              </w:rPr>
            </w:pPr>
            <w:r>
              <w:rPr>
                <w:rFonts w:cs="Arial"/>
                <w:szCs w:val="18"/>
                <w:lang w:val="en-GB"/>
              </w:rPr>
              <w:t>54.2</w:t>
            </w:r>
          </w:p>
        </w:tc>
        <w:tc>
          <w:tcPr>
            <w:tcW w:w="1134" w:type="dxa"/>
            <w:shd w:val="clear" w:color="auto" w:fill="FFFFFF"/>
          </w:tcPr>
          <w:p w14:paraId="1B601619" w14:textId="289D9808" w:rsidR="00851F03" w:rsidRPr="00B57B36" w:rsidRDefault="00A812BD" w:rsidP="008759F8">
            <w:pPr>
              <w:pStyle w:val="CETBodytext"/>
              <w:ind w:right="-1"/>
              <w:jc w:val="center"/>
              <w:rPr>
                <w:rFonts w:cs="Arial"/>
                <w:szCs w:val="18"/>
                <w:lang w:val="en-GB"/>
              </w:rPr>
            </w:pPr>
            <w:r>
              <w:rPr>
                <w:rFonts w:cs="Arial"/>
                <w:szCs w:val="18"/>
                <w:lang w:val="en-GB"/>
              </w:rPr>
              <w:t>0.9</w:t>
            </w:r>
          </w:p>
        </w:tc>
        <w:tc>
          <w:tcPr>
            <w:tcW w:w="1134" w:type="dxa"/>
            <w:shd w:val="clear" w:color="auto" w:fill="FFFFFF"/>
          </w:tcPr>
          <w:p w14:paraId="503C8097" w14:textId="3D224B25" w:rsidR="00851F03" w:rsidRPr="00B57B36" w:rsidRDefault="00A812BD" w:rsidP="008759F8">
            <w:pPr>
              <w:pStyle w:val="CETBodytext"/>
              <w:ind w:right="-1"/>
              <w:jc w:val="center"/>
              <w:rPr>
                <w:rFonts w:cs="Arial"/>
                <w:szCs w:val="18"/>
                <w:lang w:val="en-GB"/>
              </w:rPr>
            </w:pPr>
            <w:r>
              <w:rPr>
                <w:rFonts w:cs="Arial"/>
                <w:szCs w:val="18"/>
                <w:lang w:val="en-GB"/>
              </w:rPr>
              <w:t>44</w:t>
            </w:r>
            <w:r w:rsidR="00851F03">
              <w:rPr>
                <w:rFonts w:cs="Arial"/>
                <w:szCs w:val="18"/>
                <w:lang w:val="en-GB"/>
              </w:rPr>
              <w:t>.</w:t>
            </w:r>
            <w:r>
              <w:rPr>
                <w:rFonts w:cs="Arial"/>
                <w:szCs w:val="18"/>
                <w:lang w:val="en-GB"/>
              </w:rPr>
              <w:t>9</w:t>
            </w:r>
          </w:p>
        </w:tc>
        <w:tc>
          <w:tcPr>
            <w:tcW w:w="1276" w:type="dxa"/>
            <w:shd w:val="clear" w:color="auto" w:fill="FFFFFF"/>
          </w:tcPr>
          <w:p w14:paraId="3C1E13F2" w14:textId="6659A078" w:rsidR="00851F03" w:rsidRPr="00B57B36" w:rsidRDefault="00A812BD" w:rsidP="008759F8">
            <w:pPr>
              <w:pStyle w:val="CETBodytext"/>
              <w:ind w:right="-1"/>
              <w:jc w:val="center"/>
              <w:rPr>
                <w:rFonts w:cs="Arial"/>
                <w:szCs w:val="18"/>
                <w:lang w:val="en-GB"/>
              </w:rPr>
            </w:pPr>
            <w:r>
              <w:rPr>
                <w:rFonts w:cs="Arial"/>
                <w:szCs w:val="18"/>
                <w:lang w:val="en-GB"/>
              </w:rPr>
              <w:t>24.2</w:t>
            </w:r>
          </w:p>
        </w:tc>
        <w:tc>
          <w:tcPr>
            <w:tcW w:w="992" w:type="dxa"/>
            <w:shd w:val="clear" w:color="auto" w:fill="FFFFFF"/>
          </w:tcPr>
          <w:p w14:paraId="68F004C0" w14:textId="65586787" w:rsidR="00851F03" w:rsidRPr="00B57B36" w:rsidRDefault="00A812BD" w:rsidP="008759F8">
            <w:pPr>
              <w:pStyle w:val="CETBodytext"/>
              <w:ind w:right="-1"/>
              <w:jc w:val="center"/>
              <w:rPr>
                <w:rFonts w:cs="Arial"/>
                <w:szCs w:val="18"/>
                <w:lang w:val="en-GB"/>
              </w:rPr>
            </w:pPr>
            <w:r>
              <w:rPr>
                <w:rFonts w:cs="Arial"/>
                <w:szCs w:val="18"/>
                <w:lang w:val="en-GB"/>
              </w:rPr>
              <w:t>55.6</w:t>
            </w:r>
          </w:p>
        </w:tc>
        <w:tc>
          <w:tcPr>
            <w:tcW w:w="1134" w:type="dxa"/>
            <w:shd w:val="clear" w:color="auto" w:fill="FFFFFF"/>
          </w:tcPr>
          <w:p w14:paraId="5AF331C9" w14:textId="6AFB0A33" w:rsidR="00851F03" w:rsidRPr="00B57B36" w:rsidRDefault="00A812BD" w:rsidP="008759F8">
            <w:pPr>
              <w:pStyle w:val="CETBodytext"/>
              <w:ind w:right="-1"/>
              <w:jc w:val="center"/>
              <w:rPr>
                <w:rFonts w:cs="Arial"/>
                <w:szCs w:val="18"/>
                <w:lang w:val="en-GB"/>
              </w:rPr>
            </w:pPr>
            <w:r>
              <w:rPr>
                <w:rFonts w:cs="Arial"/>
                <w:szCs w:val="18"/>
                <w:lang w:val="en-GB"/>
              </w:rPr>
              <w:t>139</w:t>
            </w:r>
          </w:p>
        </w:tc>
      </w:tr>
      <w:tr w:rsidR="00851F03" w:rsidRPr="00B57B36" w14:paraId="50E31C2B" w14:textId="77777777" w:rsidTr="008759F8">
        <w:tc>
          <w:tcPr>
            <w:tcW w:w="1134" w:type="dxa"/>
            <w:shd w:val="clear" w:color="auto" w:fill="FFFFFF"/>
          </w:tcPr>
          <w:p w14:paraId="5DA71B5E" w14:textId="069588AF" w:rsidR="00851F03" w:rsidRDefault="00A812BD" w:rsidP="008759F8">
            <w:pPr>
              <w:pStyle w:val="CETBodytext"/>
              <w:ind w:right="-1"/>
              <w:jc w:val="left"/>
              <w:rPr>
                <w:rFonts w:cs="Arial"/>
                <w:szCs w:val="18"/>
                <w:lang w:val="en-GB"/>
              </w:rPr>
            </w:pPr>
            <w:r>
              <w:rPr>
                <w:lang w:val="en-GB"/>
              </w:rPr>
              <w:t>HC</w:t>
            </w:r>
            <w:r w:rsidRPr="00A812BD">
              <w:rPr>
                <w:vertAlign w:val="subscript"/>
                <w:lang w:val="en-GB"/>
              </w:rPr>
              <w:t>CF</w:t>
            </w:r>
            <w:r>
              <w:rPr>
                <w:lang w:val="en-GB"/>
              </w:rPr>
              <w:t>250</w:t>
            </w:r>
          </w:p>
        </w:tc>
        <w:tc>
          <w:tcPr>
            <w:tcW w:w="1134" w:type="dxa"/>
            <w:shd w:val="clear" w:color="auto" w:fill="FFFFFF"/>
          </w:tcPr>
          <w:p w14:paraId="6ED1D743" w14:textId="719FEC26" w:rsidR="00851F03" w:rsidRPr="00B57B36" w:rsidRDefault="00A812BD" w:rsidP="008759F8">
            <w:pPr>
              <w:pStyle w:val="CETBodytext"/>
              <w:ind w:right="-1"/>
              <w:jc w:val="center"/>
              <w:rPr>
                <w:rFonts w:cs="Arial"/>
                <w:szCs w:val="18"/>
                <w:lang w:val="en-GB"/>
              </w:rPr>
            </w:pPr>
            <w:r>
              <w:rPr>
                <w:rFonts w:cs="Arial"/>
                <w:szCs w:val="18"/>
                <w:lang w:val="en-GB"/>
              </w:rPr>
              <w:t>50.3</w:t>
            </w:r>
          </w:p>
        </w:tc>
        <w:tc>
          <w:tcPr>
            <w:tcW w:w="1134" w:type="dxa"/>
            <w:shd w:val="clear" w:color="auto" w:fill="FFFFFF"/>
          </w:tcPr>
          <w:p w14:paraId="033C17AF" w14:textId="632A3495" w:rsidR="00851F03" w:rsidRPr="00B57B36" w:rsidRDefault="00A812BD" w:rsidP="008759F8">
            <w:pPr>
              <w:pStyle w:val="CETBodytext"/>
              <w:ind w:right="-1"/>
              <w:jc w:val="center"/>
              <w:rPr>
                <w:rFonts w:cs="Arial"/>
                <w:szCs w:val="18"/>
                <w:lang w:val="en-GB"/>
              </w:rPr>
            </w:pPr>
            <w:r>
              <w:rPr>
                <w:rFonts w:cs="Arial"/>
                <w:szCs w:val="18"/>
                <w:lang w:val="en-GB"/>
              </w:rPr>
              <w:t>1</w:t>
            </w:r>
            <w:r w:rsidR="00851F03">
              <w:rPr>
                <w:rFonts w:cs="Arial"/>
                <w:szCs w:val="18"/>
                <w:lang w:val="en-GB"/>
              </w:rPr>
              <w:t>.</w:t>
            </w:r>
            <w:r>
              <w:rPr>
                <w:rFonts w:cs="Arial"/>
                <w:szCs w:val="18"/>
                <w:lang w:val="en-GB"/>
              </w:rPr>
              <w:t>3</w:t>
            </w:r>
          </w:p>
        </w:tc>
        <w:tc>
          <w:tcPr>
            <w:tcW w:w="1134" w:type="dxa"/>
            <w:shd w:val="clear" w:color="auto" w:fill="FFFFFF"/>
          </w:tcPr>
          <w:p w14:paraId="33654F3F" w14:textId="18A1AAED" w:rsidR="00851F03" w:rsidRPr="00B57B36" w:rsidRDefault="00A812BD" w:rsidP="008759F8">
            <w:pPr>
              <w:pStyle w:val="CETBodytext"/>
              <w:ind w:right="-1"/>
              <w:jc w:val="center"/>
              <w:rPr>
                <w:rFonts w:cs="Arial"/>
                <w:szCs w:val="18"/>
                <w:lang w:val="en-GB"/>
              </w:rPr>
            </w:pPr>
            <w:r>
              <w:rPr>
                <w:rFonts w:cs="Arial"/>
                <w:szCs w:val="18"/>
                <w:lang w:val="en-GB"/>
              </w:rPr>
              <w:t>48</w:t>
            </w:r>
            <w:r w:rsidR="00851F03">
              <w:rPr>
                <w:rFonts w:cs="Arial"/>
                <w:szCs w:val="18"/>
                <w:lang w:val="en-GB"/>
              </w:rPr>
              <w:t>.</w:t>
            </w:r>
            <w:r>
              <w:rPr>
                <w:rFonts w:cs="Arial"/>
                <w:szCs w:val="18"/>
                <w:lang w:val="en-GB"/>
              </w:rPr>
              <w:t>4</w:t>
            </w:r>
          </w:p>
        </w:tc>
        <w:tc>
          <w:tcPr>
            <w:tcW w:w="1276" w:type="dxa"/>
            <w:shd w:val="clear" w:color="auto" w:fill="FFFFFF"/>
          </w:tcPr>
          <w:p w14:paraId="509DDFFB" w14:textId="13B4D7E5" w:rsidR="00851F03" w:rsidRPr="00B57B36" w:rsidRDefault="00A812BD" w:rsidP="008759F8">
            <w:pPr>
              <w:pStyle w:val="CETBodytext"/>
              <w:ind w:right="-1"/>
              <w:jc w:val="center"/>
              <w:rPr>
                <w:rFonts w:cs="Arial"/>
                <w:szCs w:val="18"/>
                <w:lang w:val="en-GB"/>
              </w:rPr>
            </w:pPr>
            <w:r>
              <w:rPr>
                <w:rFonts w:cs="Arial"/>
                <w:szCs w:val="18"/>
                <w:lang w:val="en-GB"/>
              </w:rPr>
              <w:t>25.6</w:t>
            </w:r>
          </w:p>
        </w:tc>
        <w:tc>
          <w:tcPr>
            <w:tcW w:w="992" w:type="dxa"/>
            <w:shd w:val="clear" w:color="auto" w:fill="FFFFFF"/>
          </w:tcPr>
          <w:p w14:paraId="53A68496" w14:textId="7CAD8588" w:rsidR="00851F03" w:rsidRPr="00B57B36" w:rsidRDefault="0030320F" w:rsidP="008759F8">
            <w:pPr>
              <w:pStyle w:val="CETBodytext"/>
              <w:ind w:right="-1"/>
              <w:jc w:val="center"/>
              <w:rPr>
                <w:rFonts w:cs="Arial"/>
                <w:szCs w:val="18"/>
                <w:lang w:val="en-GB"/>
              </w:rPr>
            </w:pPr>
            <w:r>
              <w:rPr>
                <w:rFonts w:cs="Arial"/>
                <w:szCs w:val="18"/>
                <w:lang w:val="en-GB"/>
              </w:rPr>
              <w:t>56</w:t>
            </w:r>
            <w:r w:rsidR="00851F03">
              <w:rPr>
                <w:rFonts w:cs="Arial"/>
                <w:szCs w:val="18"/>
                <w:lang w:val="en-GB"/>
              </w:rPr>
              <w:t>.</w:t>
            </w:r>
            <w:r>
              <w:rPr>
                <w:rFonts w:cs="Arial"/>
                <w:szCs w:val="18"/>
                <w:lang w:val="en-GB"/>
              </w:rPr>
              <w:t>5</w:t>
            </w:r>
          </w:p>
        </w:tc>
        <w:tc>
          <w:tcPr>
            <w:tcW w:w="1134" w:type="dxa"/>
            <w:shd w:val="clear" w:color="auto" w:fill="FFFFFF"/>
          </w:tcPr>
          <w:p w14:paraId="3639579E" w14:textId="3B837CE9" w:rsidR="00851F03" w:rsidRPr="00B57B36" w:rsidRDefault="0030320F" w:rsidP="008759F8">
            <w:pPr>
              <w:pStyle w:val="CETBodytext"/>
              <w:ind w:right="-1"/>
              <w:jc w:val="center"/>
              <w:rPr>
                <w:rFonts w:cs="Arial"/>
                <w:szCs w:val="18"/>
                <w:lang w:val="en-GB"/>
              </w:rPr>
            </w:pPr>
            <w:r>
              <w:rPr>
                <w:rFonts w:cs="Arial"/>
                <w:szCs w:val="18"/>
                <w:lang w:val="en-GB"/>
              </w:rPr>
              <w:t>147</w:t>
            </w:r>
          </w:p>
        </w:tc>
      </w:tr>
      <w:tr w:rsidR="00851F03" w:rsidRPr="00B57B36" w14:paraId="5A4E4C98" w14:textId="77777777" w:rsidTr="008759F8">
        <w:tc>
          <w:tcPr>
            <w:tcW w:w="1134" w:type="dxa"/>
            <w:shd w:val="clear" w:color="auto" w:fill="FFFFFF"/>
          </w:tcPr>
          <w:p w14:paraId="24089A2C" w14:textId="31A94E3C" w:rsidR="00851F03" w:rsidRDefault="00A812BD" w:rsidP="008759F8">
            <w:pPr>
              <w:pStyle w:val="CETBodytext"/>
              <w:ind w:right="-1"/>
              <w:jc w:val="left"/>
              <w:rPr>
                <w:rFonts w:cs="Arial"/>
                <w:szCs w:val="18"/>
                <w:lang w:val="en-GB"/>
              </w:rPr>
            </w:pPr>
            <w:r>
              <w:rPr>
                <w:lang w:val="en-GB"/>
              </w:rPr>
              <w:t>HC</w:t>
            </w:r>
            <w:r w:rsidR="00851F03" w:rsidRPr="00A812BD">
              <w:rPr>
                <w:vertAlign w:val="subscript"/>
                <w:lang w:val="en-GB"/>
              </w:rPr>
              <w:t>C</w:t>
            </w:r>
            <w:r w:rsidRPr="00A812BD">
              <w:rPr>
                <w:vertAlign w:val="subscript"/>
                <w:lang w:val="en-GB"/>
              </w:rPr>
              <w:t>F</w:t>
            </w:r>
            <w:r>
              <w:rPr>
                <w:lang w:val="en-GB"/>
              </w:rPr>
              <w:t>280</w:t>
            </w:r>
          </w:p>
        </w:tc>
        <w:tc>
          <w:tcPr>
            <w:tcW w:w="1134" w:type="dxa"/>
            <w:shd w:val="clear" w:color="auto" w:fill="FFFFFF"/>
          </w:tcPr>
          <w:p w14:paraId="790F628C" w14:textId="6C7C342D" w:rsidR="00851F03" w:rsidRDefault="00A812BD" w:rsidP="008759F8">
            <w:pPr>
              <w:pStyle w:val="CETBodytext"/>
              <w:ind w:right="-1"/>
              <w:jc w:val="center"/>
              <w:rPr>
                <w:rFonts w:cs="Arial"/>
                <w:szCs w:val="18"/>
                <w:lang w:val="en-GB"/>
              </w:rPr>
            </w:pPr>
            <w:r>
              <w:rPr>
                <w:rFonts w:cs="Arial"/>
                <w:szCs w:val="18"/>
                <w:lang w:val="en-GB"/>
              </w:rPr>
              <w:t>45</w:t>
            </w:r>
            <w:r w:rsidR="00851F03">
              <w:rPr>
                <w:rFonts w:cs="Arial"/>
                <w:szCs w:val="18"/>
                <w:lang w:val="en-GB"/>
              </w:rPr>
              <w:t>.</w:t>
            </w:r>
            <w:r>
              <w:rPr>
                <w:rFonts w:cs="Arial"/>
                <w:szCs w:val="18"/>
                <w:lang w:val="en-GB"/>
              </w:rPr>
              <w:t>6</w:t>
            </w:r>
          </w:p>
        </w:tc>
        <w:tc>
          <w:tcPr>
            <w:tcW w:w="1134" w:type="dxa"/>
            <w:shd w:val="clear" w:color="auto" w:fill="FFFFFF"/>
          </w:tcPr>
          <w:p w14:paraId="5E448985" w14:textId="0F5A60D7" w:rsidR="00851F03" w:rsidRDefault="00A812BD" w:rsidP="008759F8">
            <w:pPr>
              <w:pStyle w:val="CETBodytext"/>
              <w:ind w:right="-1"/>
              <w:jc w:val="center"/>
              <w:rPr>
                <w:rFonts w:cs="Arial"/>
                <w:szCs w:val="18"/>
                <w:lang w:val="en-GB"/>
              </w:rPr>
            </w:pPr>
            <w:r>
              <w:rPr>
                <w:rFonts w:cs="Arial"/>
                <w:szCs w:val="18"/>
                <w:lang w:val="en-GB"/>
              </w:rPr>
              <w:t>1</w:t>
            </w:r>
            <w:r w:rsidR="00851F03">
              <w:rPr>
                <w:rFonts w:cs="Arial"/>
                <w:szCs w:val="18"/>
                <w:lang w:val="en-GB"/>
              </w:rPr>
              <w:t>.</w:t>
            </w:r>
            <w:r>
              <w:rPr>
                <w:rFonts w:cs="Arial"/>
                <w:szCs w:val="18"/>
                <w:lang w:val="en-GB"/>
              </w:rPr>
              <w:t>2</w:t>
            </w:r>
          </w:p>
        </w:tc>
        <w:tc>
          <w:tcPr>
            <w:tcW w:w="1134" w:type="dxa"/>
            <w:shd w:val="clear" w:color="auto" w:fill="FFFFFF"/>
          </w:tcPr>
          <w:p w14:paraId="065CAC7B" w14:textId="22D94F09" w:rsidR="00851F03" w:rsidRDefault="00A812BD" w:rsidP="008759F8">
            <w:pPr>
              <w:pStyle w:val="CETBodytext"/>
              <w:ind w:right="-1"/>
              <w:jc w:val="center"/>
              <w:rPr>
                <w:rFonts w:cs="Arial"/>
                <w:szCs w:val="18"/>
                <w:lang w:val="en-GB"/>
              </w:rPr>
            </w:pPr>
            <w:r>
              <w:rPr>
                <w:rFonts w:cs="Arial"/>
                <w:szCs w:val="18"/>
                <w:lang w:val="en-GB"/>
              </w:rPr>
              <w:t>53.2</w:t>
            </w:r>
          </w:p>
        </w:tc>
        <w:tc>
          <w:tcPr>
            <w:tcW w:w="1276" w:type="dxa"/>
            <w:shd w:val="clear" w:color="auto" w:fill="FFFFFF"/>
          </w:tcPr>
          <w:p w14:paraId="2C519325" w14:textId="14DD7B06" w:rsidR="00851F03" w:rsidRDefault="00A812BD" w:rsidP="008759F8">
            <w:pPr>
              <w:pStyle w:val="CETBodytext"/>
              <w:ind w:right="-1"/>
              <w:jc w:val="center"/>
              <w:rPr>
                <w:rFonts w:cs="Arial"/>
                <w:szCs w:val="18"/>
                <w:lang w:val="en-GB"/>
              </w:rPr>
            </w:pPr>
            <w:r>
              <w:rPr>
                <w:rFonts w:cs="Arial"/>
                <w:szCs w:val="18"/>
                <w:lang w:val="en-GB"/>
              </w:rPr>
              <w:t>27.7</w:t>
            </w:r>
          </w:p>
        </w:tc>
        <w:tc>
          <w:tcPr>
            <w:tcW w:w="992" w:type="dxa"/>
            <w:shd w:val="clear" w:color="auto" w:fill="FFFFFF"/>
          </w:tcPr>
          <w:p w14:paraId="5086CF94" w14:textId="121753C7" w:rsidR="00851F03" w:rsidRDefault="0030320F" w:rsidP="008759F8">
            <w:pPr>
              <w:pStyle w:val="CETBodytext"/>
              <w:ind w:right="-1"/>
              <w:jc w:val="center"/>
              <w:rPr>
                <w:rFonts w:cs="Arial"/>
                <w:szCs w:val="18"/>
                <w:lang w:val="en-GB"/>
              </w:rPr>
            </w:pPr>
            <w:r>
              <w:rPr>
                <w:rFonts w:cs="Arial"/>
                <w:szCs w:val="18"/>
                <w:lang w:val="en-GB"/>
              </w:rPr>
              <w:t>50</w:t>
            </w:r>
            <w:r w:rsidR="00851F03">
              <w:rPr>
                <w:rFonts w:cs="Arial"/>
                <w:szCs w:val="18"/>
                <w:lang w:val="en-GB"/>
              </w:rPr>
              <w:t>.</w:t>
            </w:r>
            <w:r>
              <w:rPr>
                <w:rFonts w:cs="Arial"/>
                <w:szCs w:val="18"/>
                <w:lang w:val="en-GB"/>
              </w:rPr>
              <w:t>5</w:t>
            </w:r>
          </w:p>
        </w:tc>
        <w:tc>
          <w:tcPr>
            <w:tcW w:w="1134" w:type="dxa"/>
            <w:shd w:val="clear" w:color="auto" w:fill="FFFFFF"/>
          </w:tcPr>
          <w:p w14:paraId="5ED63223" w14:textId="7D95E32D" w:rsidR="00851F03" w:rsidRDefault="0030320F" w:rsidP="008759F8">
            <w:pPr>
              <w:pStyle w:val="CETBodytext"/>
              <w:ind w:right="-1"/>
              <w:jc w:val="center"/>
              <w:rPr>
                <w:rFonts w:cs="Arial"/>
                <w:szCs w:val="18"/>
                <w:lang w:val="en-GB"/>
              </w:rPr>
            </w:pPr>
            <w:r>
              <w:rPr>
                <w:rFonts w:cs="Arial"/>
                <w:szCs w:val="18"/>
                <w:lang w:val="en-GB"/>
              </w:rPr>
              <w:t>159</w:t>
            </w:r>
          </w:p>
        </w:tc>
      </w:tr>
    </w:tbl>
    <w:p w14:paraId="4F52C2A4" w14:textId="7904EC3C" w:rsidR="00144B1E" w:rsidRDefault="00144B1E" w:rsidP="00144B1E">
      <w:pPr>
        <w:pStyle w:val="CETHeading1"/>
        <w:numPr>
          <w:ilvl w:val="0"/>
          <w:numId w:val="0"/>
        </w:numPr>
        <w:ind w:left="720"/>
        <w:rPr>
          <w:b w:val="0"/>
          <w:i/>
          <w:sz w:val="18"/>
          <w:lang w:val="en-GB"/>
        </w:rPr>
      </w:pPr>
      <w:r>
        <w:rPr>
          <w:b w:val="0"/>
          <w:i/>
          <w:sz w:val="18"/>
          <w:lang w:val="en-GB"/>
        </w:rPr>
        <w:t>*</w:t>
      </w:r>
      <w:r w:rsidRPr="00144B1E">
        <w:rPr>
          <w:b w:val="0"/>
          <w:i/>
          <w:sz w:val="18"/>
          <w:lang w:val="en-GB"/>
        </w:rPr>
        <w:t>Evaluated by difference</w:t>
      </w:r>
      <w:r>
        <w:rPr>
          <w:b w:val="0"/>
          <w:i/>
          <w:sz w:val="18"/>
          <w:lang w:val="en-GB"/>
        </w:rPr>
        <w:t xml:space="preserve">: FC = 100 - VM </w:t>
      </w:r>
      <w:r w:rsidR="0080451F">
        <w:rPr>
          <w:b w:val="0"/>
          <w:i/>
          <w:sz w:val="18"/>
          <w:lang w:val="en-GB"/>
        </w:rPr>
        <w:t>–</w:t>
      </w:r>
      <w:r>
        <w:rPr>
          <w:b w:val="0"/>
          <w:i/>
          <w:sz w:val="18"/>
          <w:lang w:val="en-GB"/>
        </w:rPr>
        <w:t xml:space="preserve"> ash</w:t>
      </w:r>
    </w:p>
    <w:bookmarkEnd w:id="0"/>
    <w:p w14:paraId="6F31D7DB" w14:textId="1E476CFF" w:rsidR="008874BE" w:rsidRPr="008874BE" w:rsidRDefault="008874BE" w:rsidP="0080451F">
      <w:pPr>
        <w:pStyle w:val="CETTabletitle"/>
        <w:rPr>
          <w:i w:val="0"/>
        </w:rPr>
      </w:pPr>
      <w:r w:rsidRPr="008874BE">
        <w:rPr>
          <w:i w:val="0"/>
        </w:rPr>
        <w:t>Elemental analysis</w:t>
      </w:r>
      <w:r>
        <w:rPr>
          <w:i w:val="0"/>
        </w:rPr>
        <w:t xml:space="preserve"> confirm</w:t>
      </w:r>
      <w:r w:rsidR="000D691F">
        <w:rPr>
          <w:i w:val="0"/>
        </w:rPr>
        <w:t>ed</w:t>
      </w:r>
      <w:r>
        <w:rPr>
          <w:i w:val="0"/>
        </w:rPr>
        <w:t xml:space="preserve"> that the energy densification of the CF hydrochars with the increase of reaction temperature is mainly driven by the increase of carbon content. </w:t>
      </w:r>
    </w:p>
    <w:p w14:paraId="4CE7A192" w14:textId="1B3DA5A2" w:rsidR="0080451F" w:rsidRDefault="0080451F" w:rsidP="0080451F">
      <w:pPr>
        <w:pStyle w:val="CETTabletitle"/>
      </w:pPr>
      <w:r w:rsidRPr="00B57B36">
        <w:t xml:space="preserve">Table </w:t>
      </w:r>
      <w:r w:rsidR="009E336C">
        <w:t>3</w:t>
      </w:r>
      <w:r w:rsidRPr="00B57B36">
        <w:t xml:space="preserve">: </w:t>
      </w:r>
      <w:r w:rsidR="009E336C">
        <w:t>Elemental</w:t>
      </w:r>
      <w:r>
        <w:t xml:space="preserve"> analysis of raw CF and corresponding </w:t>
      </w:r>
      <w:r w:rsidR="009E336C">
        <w:t>hydroc</w:t>
      </w:r>
      <w:r w:rsidR="00C8051E">
        <w:t>h</w:t>
      </w:r>
      <w:r w:rsidR="009E336C">
        <w:t xml:space="preserve">ars, </w:t>
      </w:r>
      <w:r>
        <w:t xml:space="preserve">analysis performed in </w:t>
      </w:r>
      <w:r w:rsidR="009E336C">
        <w:t>triplicate</w:t>
      </w:r>
      <w:r>
        <w:t xml:space="preserve">; average values are showed (RSD% </w:t>
      </w:r>
      <w:r>
        <w:rPr>
          <w:rStyle w:val="CETCaptionCarattere"/>
          <w:rFonts w:cs="Arial"/>
          <w:i/>
        </w:rPr>
        <w:t xml:space="preserve">≤ </w:t>
      </w:r>
      <w:r w:rsidRPr="00255250">
        <w:rPr>
          <w:rStyle w:val="CETCaptionCarattere"/>
          <w:rFonts w:cs="Arial"/>
          <w:i/>
        </w:rPr>
        <w:t>1.</w:t>
      </w:r>
      <w:r w:rsidR="00FE0FD9">
        <w:rPr>
          <w:rStyle w:val="CETCaptionCarattere"/>
          <w:rFonts w:cs="Arial"/>
          <w:i/>
        </w:rPr>
        <w:t>2</w:t>
      </w:r>
      <w:r>
        <w:rPr>
          <w:rStyle w:val="CETCaptionCarattere"/>
          <w:rFonts w:cs="Arial"/>
          <w:i/>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9"/>
        <w:gridCol w:w="1096"/>
        <w:gridCol w:w="1082"/>
        <w:gridCol w:w="1096"/>
        <w:gridCol w:w="1098"/>
      </w:tblGrid>
      <w:tr w:rsidR="009E336C" w:rsidRPr="00B57B36" w14:paraId="77D3369B" w14:textId="77777777" w:rsidTr="009E336C">
        <w:tc>
          <w:tcPr>
            <w:tcW w:w="1119" w:type="dxa"/>
            <w:vMerge w:val="restart"/>
            <w:tcBorders>
              <w:top w:val="single" w:sz="12" w:space="0" w:color="008000"/>
            </w:tcBorders>
            <w:shd w:val="clear" w:color="auto" w:fill="FFFFFF"/>
          </w:tcPr>
          <w:p w14:paraId="6D2E4DE8" w14:textId="77777777" w:rsidR="009E336C" w:rsidRPr="00B57B36" w:rsidRDefault="009E336C" w:rsidP="008759F8">
            <w:pPr>
              <w:pStyle w:val="CETBodytext"/>
              <w:jc w:val="center"/>
              <w:rPr>
                <w:lang w:val="en-GB"/>
              </w:rPr>
            </w:pPr>
            <w:r>
              <w:rPr>
                <w:lang w:val="en-GB"/>
              </w:rPr>
              <w:t>Sample</w:t>
            </w:r>
          </w:p>
        </w:tc>
        <w:tc>
          <w:tcPr>
            <w:tcW w:w="1096" w:type="dxa"/>
            <w:tcBorders>
              <w:top w:val="single" w:sz="12" w:space="0" w:color="008000"/>
            </w:tcBorders>
            <w:shd w:val="clear" w:color="auto" w:fill="FFFFFF"/>
          </w:tcPr>
          <w:p w14:paraId="7735CB20" w14:textId="77777777" w:rsidR="009E336C" w:rsidRDefault="009E336C" w:rsidP="008759F8">
            <w:pPr>
              <w:pStyle w:val="CETBodytext"/>
              <w:ind w:right="-1"/>
              <w:jc w:val="center"/>
              <w:rPr>
                <w:rFonts w:cs="Arial"/>
                <w:szCs w:val="18"/>
                <w:lang w:val="en-GB"/>
              </w:rPr>
            </w:pPr>
          </w:p>
        </w:tc>
        <w:tc>
          <w:tcPr>
            <w:tcW w:w="3276" w:type="dxa"/>
            <w:gridSpan w:val="3"/>
            <w:tcBorders>
              <w:top w:val="single" w:sz="12" w:space="0" w:color="008000"/>
              <w:bottom w:val="single" w:sz="6" w:space="0" w:color="008000"/>
            </w:tcBorders>
            <w:shd w:val="clear" w:color="auto" w:fill="FFFFFF"/>
          </w:tcPr>
          <w:p w14:paraId="246F9E64" w14:textId="51BE6ABB" w:rsidR="009E336C" w:rsidRPr="00B57B36" w:rsidRDefault="009E336C" w:rsidP="008759F8">
            <w:pPr>
              <w:pStyle w:val="CETBodytext"/>
              <w:ind w:right="-1"/>
              <w:jc w:val="center"/>
              <w:rPr>
                <w:rFonts w:cs="Arial"/>
                <w:szCs w:val="18"/>
                <w:lang w:val="en-GB"/>
              </w:rPr>
            </w:pPr>
            <w:r>
              <w:rPr>
                <w:rFonts w:cs="Arial"/>
                <w:szCs w:val="18"/>
                <w:lang w:val="en-GB"/>
              </w:rPr>
              <w:t xml:space="preserve">    Proximate Analysis (</w:t>
            </w:r>
            <w:proofErr w:type="spellStart"/>
            <w:r>
              <w:rPr>
                <w:rFonts w:cs="Arial"/>
                <w:szCs w:val="18"/>
                <w:lang w:val="en-GB"/>
              </w:rPr>
              <w:t>wt</w:t>
            </w:r>
            <w:proofErr w:type="spellEnd"/>
            <w:r>
              <w:rPr>
                <w:rFonts w:cs="Arial"/>
                <w:szCs w:val="18"/>
                <w:lang w:val="en-GB"/>
              </w:rPr>
              <w:t xml:space="preserve">% </w:t>
            </w:r>
            <w:proofErr w:type="spellStart"/>
            <w:r>
              <w:rPr>
                <w:rFonts w:cs="Arial"/>
                <w:szCs w:val="18"/>
                <w:lang w:val="en-GB"/>
              </w:rPr>
              <w:t>d.b</w:t>
            </w:r>
            <w:proofErr w:type="spellEnd"/>
            <w:r>
              <w:rPr>
                <w:rFonts w:cs="Arial"/>
                <w:szCs w:val="18"/>
                <w:lang w:val="en-GB"/>
              </w:rPr>
              <w:t>.)</w:t>
            </w:r>
          </w:p>
        </w:tc>
      </w:tr>
      <w:tr w:rsidR="009E336C" w:rsidRPr="00B57B36" w14:paraId="3C327035" w14:textId="77777777" w:rsidTr="009E336C">
        <w:tc>
          <w:tcPr>
            <w:tcW w:w="1119" w:type="dxa"/>
            <w:vMerge/>
            <w:tcBorders>
              <w:bottom w:val="single" w:sz="6" w:space="0" w:color="008000"/>
            </w:tcBorders>
            <w:shd w:val="clear" w:color="auto" w:fill="FFFFFF"/>
          </w:tcPr>
          <w:p w14:paraId="7CE2CADF" w14:textId="77777777" w:rsidR="009E336C" w:rsidRPr="00B57B36" w:rsidRDefault="009E336C" w:rsidP="008759F8">
            <w:pPr>
              <w:pStyle w:val="CETBodytext"/>
              <w:rPr>
                <w:lang w:val="en-GB"/>
              </w:rPr>
            </w:pPr>
          </w:p>
        </w:tc>
        <w:tc>
          <w:tcPr>
            <w:tcW w:w="1096" w:type="dxa"/>
            <w:tcBorders>
              <w:top w:val="single" w:sz="12" w:space="0" w:color="008000"/>
              <w:bottom w:val="single" w:sz="6" w:space="0" w:color="008000"/>
            </w:tcBorders>
            <w:shd w:val="clear" w:color="auto" w:fill="FFFFFF"/>
          </w:tcPr>
          <w:p w14:paraId="238DC2E0" w14:textId="0FCB9BB3" w:rsidR="009E336C" w:rsidRPr="00B57B36" w:rsidRDefault="009E336C" w:rsidP="008759F8">
            <w:pPr>
              <w:pStyle w:val="CETBodytext"/>
              <w:jc w:val="center"/>
              <w:rPr>
                <w:lang w:val="en-GB"/>
              </w:rPr>
            </w:pPr>
            <w:r>
              <w:rPr>
                <w:lang w:val="en-GB"/>
              </w:rPr>
              <w:t>C%</w:t>
            </w:r>
          </w:p>
        </w:tc>
        <w:tc>
          <w:tcPr>
            <w:tcW w:w="1082" w:type="dxa"/>
            <w:tcBorders>
              <w:top w:val="single" w:sz="12" w:space="0" w:color="008000"/>
              <w:bottom w:val="single" w:sz="6" w:space="0" w:color="008000"/>
            </w:tcBorders>
            <w:shd w:val="clear" w:color="auto" w:fill="FFFFFF"/>
          </w:tcPr>
          <w:p w14:paraId="59879CB2" w14:textId="34A87C28" w:rsidR="009E336C" w:rsidRDefault="009E336C" w:rsidP="008759F8">
            <w:pPr>
              <w:pStyle w:val="CETBodytext"/>
              <w:jc w:val="center"/>
              <w:rPr>
                <w:lang w:val="en-GB"/>
              </w:rPr>
            </w:pPr>
            <w:r>
              <w:rPr>
                <w:lang w:val="en-GB"/>
              </w:rPr>
              <w:t>H%</w:t>
            </w:r>
          </w:p>
        </w:tc>
        <w:tc>
          <w:tcPr>
            <w:tcW w:w="1096" w:type="dxa"/>
            <w:tcBorders>
              <w:top w:val="single" w:sz="12" w:space="0" w:color="008000"/>
              <w:bottom w:val="single" w:sz="6" w:space="0" w:color="008000"/>
            </w:tcBorders>
            <w:shd w:val="clear" w:color="auto" w:fill="FFFFFF"/>
          </w:tcPr>
          <w:p w14:paraId="1079DA94" w14:textId="0CAA9F4F" w:rsidR="009E336C" w:rsidRPr="00B57B36" w:rsidRDefault="009E336C" w:rsidP="008759F8">
            <w:pPr>
              <w:pStyle w:val="CETBodytext"/>
              <w:jc w:val="center"/>
              <w:rPr>
                <w:lang w:val="en-GB"/>
              </w:rPr>
            </w:pPr>
            <w:r>
              <w:rPr>
                <w:lang w:val="en-GB"/>
              </w:rPr>
              <w:t>N%</w:t>
            </w:r>
          </w:p>
        </w:tc>
        <w:tc>
          <w:tcPr>
            <w:tcW w:w="1098" w:type="dxa"/>
            <w:tcBorders>
              <w:top w:val="single" w:sz="12" w:space="0" w:color="008000"/>
              <w:bottom w:val="single" w:sz="6" w:space="0" w:color="008000"/>
            </w:tcBorders>
            <w:shd w:val="clear" w:color="auto" w:fill="FFFFFF"/>
          </w:tcPr>
          <w:p w14:paraId="2DC31305" w14:textId="6A654DDE" w:rsidR="009E336C" w:rsidRPr="00B57B36" w:rsidRDefault="009E336C" w:rsidP="008759F8">
            <w:pPr>
              <w:pStyle w:val="CETBodytext"/>
              <w:ind w:right="-1"/>
              <w:jc w:val="center"/>
              <w:rPr>
                <w:rFonts w:cs="Arial"/>
                <w:szCs w:val="18"/>
                <w:lang w:val="en-GB"/>
              </w:rPr>
            </w:pPr>
            <w:r>
              <w:rPr>
                <w:rFonts w:cs="Arial"/>
                <w:szCs w:val="18"/>
                <w:lang w:val="en-GB"/>
              </w:rPr>
              <w:t>O%*</w:t>
            </w:r>
          </w:p>
        </w:tc>
      </w:tr>
      <w:tr w:rsidR="009E336C" w:rsidRPr="00B57B36" w14:paraId="5AC54AC0" w14:textId="77777777" w:rsidTr="009E336C">
        <w:tc>
          <w:tcPr>
            <w:tcW w:w="1119" w:type="dxa"/>
            <w:shd w:val="clear" w:color="auto" w:fill="FFFFFF"/>
          </w:tcPr>
          <w:p w14:paraId="760784AE" w14:textId="77777777" w:rsidR="009E336C" w:rsidRDefault="009E336C" w:rsidP="008759F8">
            <w:pPr>
              <w:pStyle w:val="CETBodytext"/>
              <w:jc w:val="left"/>
              <w:rPr>
                <w:lang w:val="en-GB"/>
              </w:rPr>
            </w:pPr>
            <w:proofErr w:type="spellStart"/>
            <w:r>
              <w:rPr>
                <w:lang w:val="en-GB"/>
              </w:rPr>
              <w:t>CF</w:t>
            </w:r>
            <w:r w:rsidRPr="00A812BD">
              <w:rPr>
                <w:vertAlign w:val="subscript"/>
                <w:lang w:val="en-GB"/>
              </w:rPr>
              <w:t>raw</w:t>
            </w:r>
            <w:proofErr w:type="spellEnd"/>
          </w:p>
        </w:tc>
        <w:tc>
          <w:tcPr>
            <w:tcW w:w="1096" w:type="dxa"/>
            <w:shd w:val="clear" w:color="auto" w:fill="FFFFFF"/>
          </w:tcPr>
          <w:p w14:paraId="197A08D7" w14:textId="1BAD16EB" w:rsidR="009E336C" w:rsidRPr="00EB7C8C" w:rsidRDefault="00EB7C8C" w:rsidP="008759F8">
            <w:pPr>
              <w:pStyle w:val="CETBodytext"/>
              <w:jc w:val="center"/>
              <w:rPr>
                <w:lang w:val="en-GB"/>
              </w:rPr>
            </w:pPr>
            <w:r w:rsidRPr="00EB7C8C">
              <w:rPr>
                <w:lang w:val="en-GB"/>
              </w:rPr>
              <w:t>49.5</w:t>
            </w:r>
          </w:p>
        </w:tc>
        <w:tc>
          <w:tcPr>
            <w:tcW w:w="1082" w:type="dxa"/>
            <w:shd w:val="clear" w:color="auto" w:fill="FFFFFF"/>
          </w:tcPr>
          <w:p w14:paraId="25D9DB75" w14:textId="5A54F43C" w:rsidR="009E336C" w:rsidRPr="00EB7C8C" w:rsidRDefault="00EB7C8C" w:rsidP="008759F8">
            <w:pPr>
              <w:pStyle w:val="CETBodytext"/>
              <w:jc w:val="center"/>
              <w:rPr>
                <w:lang w:val="en-GB"/>
              </w:rPr>
            </w:pPr>
            <w:r w:rsidRPr="00EB7C8C">
              <w:rPr>
                <w:lang w:val="en-GB"/>
              </w:rPr>
              <w:t>5.8</w:t>
            </w:r>
          </w:p>
        </w:tc>
        <w:tc>
          <w:tcPr>
            <w:tcW w:w="1096" w:type="dxa"/>
            <w:shd w:val="clear" w:color="auto" w:fill="FFFFFF"/>
          </w:tcPr>
          <w:p w14:paraId="79B1DCDE" w14:textId="082A8ADA" w:rsidR="009E336C" w:rsidRPr="00EB7C8C" w:rsidRDefault="00EB7C8C" w:rsidP="008759F8">
            <w:pPr>
              <w:pStyle w:val="CETBodytext"/>
              <w:jc w:val="center"/>
              <w:rPr>
                <w:lang w:val="en-GB"/>
              </w:rPr>
            </w:pPr>
            <w:r w:rsidRPr="00EB7C8C">
              <w:rPr>
                <w:lang w:val="en-GB"/>
              </w:rPr>
              <w:t>0.7</w:t>
            </w:r>
          </w:p>
        </w:tc>
        <w:tc>
          <w:tcPr>
            <w:tcW w:w="1098" w:type="dxa"/>
            <w:shd w:val="clear" w:color="auto" w:fill="FFFFFF"/>
          </w:tcPr>
          <w:p w14:paraId="37733CC4" w14:textId="631D73A2" w:rsidR="009E336C" w:rsidRPr="00EB7C8C" w:rsidRDefault="00EB7C8C" w:rsidP="008759F8">
            <w:pPr>
              <w:pStyle w:val="CETBodytext"/>
              <w:ind w:right="-1"/>
              <w:jc w:val="center"/>
              <w:rPr>
                <w:rFonts w:cs="Arial"/>
                <w:szCs w:val="18"/>
                <w:lang w:val="en-GB"/>
              </w:rPr>
            </w:pPr>
            <w:r w:rsidRPr="00EB7C8C">
              <w:rPr>
                <w:rFonts w:cs="Arial"/>
                <w:szCs w:val="18"/>
                <w:lang w:val="en-GB"/>
              </w:rPr>
              <w:t>41.4</w:t>
            </w:r>
          </w:p>
        </w:tc>
      </w:tr>
      <w:tr w:rsidR="009E336C" w:rsidRPr="00B57B36" w14:paraId="635451A3" w14:textId="77777777" w:rsidTr="009E336C">
        <w:tc>
          <w:tcPr>
            <w:tcW w:w="1119" w:type="dxa"/>
            <w:shd w:val="clear" w:color="auto" w:fill="FFFFFF"/>
          </w:tcPr>
          <w:p w14:paraId="5DD183AF" w14:textId="1111758F" w:rsidR="009E336C" w:rsidRPr="00B57B36" w:rsidRDefault="009E336C" w:rsidP="008759F8">
            <w:pPr>
              <w:pStyle w:val="CETBodytext"/>
              <w:jc w:val="left"/>
              <w:rPr>
                <w:lang w:val="en-GB"/>
              </w:rPr>
            </w:pPr>
            <w:r>
              <w:rPr>
                <w:lang w:val="en-GB"/>
              </w:rPr>
              <w:t>HC</w:t>
            </w:r>
            <w:r w:rsidRPr="00A812BD">
              <w:rPr>
                <w:vertAlign w:val="subscript"/>
                <w:lang w:val="en-GB"/>
              </w:rPr>
              <w:t>CF</w:t>
            </w:r>
            <w:r>
              <w:rPr>
                <w:lang w:val="en-GB"/>
              </w:rPr>
              <w:t>200</w:t>
            </w:r>
          </w:p>
        </w:tc>
        <w:tc>
          <w:tcPr>
            <w:tcW w:w="1096" w:type="dxa"/>
            <w:shd w:val="clear" w:color="auto" w:fill="FFFFFF"/>
          </w:tcPr>
          <w:p w14:paraId="49B5CBE8" w14:textId="0C0FE44B" w:rsidR="009E336C" w:rsidRPr="00EB7C8C" w:rsidRDefault="00EB7C8C" w:rsidP="008759F8">
            <w:pPr>
              <w:pStyle w:val="CETBodytext"/>
              <w:jc w:val="center"/>
              <w:rPr>
                <w:lang w:val="en-GB"/>
              </w:rPr>
            </w:pPr>
            <w:r>
              <w:rPr>
                <w:lang w:val="en-GB"/>
              </w:rPr>
              <w:t>59.8</w:t>
            </w:r>
          </w:p>
        </w:tc>
        <w:tc>
          <w:tcPr>
            <w:tcW w:w="1082" w:type="dxa"/>
            <w:shd w:val="clear" w:color="auto" w:fill="FFFFFF"/>
          </w:tcPr>
          <w:p w14:paraId="686C112B" w14:textId="74600CC8" w:rsidR="009E336C" w:rsidRPr="00EB7C8C" w:rsidRDefault="00EB7C8C" w:rsidP="008759F8">
            <w:pPr>
              <w:pStyle w:val="CETBodytext"/>
              <w:jc w:val="center"/>
              <w:rPr>
                <w:lang w:val="en-GB"/>
              </w:rPr>
            </w:pPr>
            <w:r>
              <w:rPr>
                <w:lang w:val="en-GB"/>
              </w:rPr>
              <w:t>5.1</w:t>
            </w:r>
          </w:p>
        </w:tc>
        <w:tc>
          <w:tcPr>
            <w:tcW w:w="1096" w:type="dxa"/>
            <w:shd w:val="clear" w:color="auto" w:fill="FFFFFF"/>
          </w:tcPr>
          <w:p w14:paraId="5E5C5C5F" w14:textId="321144BD" w:rsidR="009E336C" w:rsidRPr="00EB7C8C" w:rsidRDefault="00EB7C8C" w:rsidP="008759F8">
            <w:pPr>
              <w:pStyle w:val="CETBodytext"/>
              <w:jc w:val="center"/>
              <w:rPr>
                <w:lang w:val="en-GB"/>
              </w:rPr>
            </w:pPr>
            <w:r>
              <w:rPr>
                <w:lang w:val="en-GB"/>
              </w:rPr>
              <w:t>1.4</w:t>
            </w:r>
          </w:p>
        </w:tc>
        <w:tc>
          <w:tcPr>
            <w:tcW w:w="1098" w:type="dxa"/>
            <w:shd w:val="clear" w:color="auto" w:fill="FFFFFF"/>
          </w:tcPr>
          <w:p w14:paraId="1850813B" w14:textId="32BF9D70" w:rsidR="009E336C" w:rsidRPr="00EB7C8C" w:rsidRDefault="00EB7C8C" w:rsidP="008759F8">
            <w:pPr>
              <w:pStyle w:val="CETBodytext"/>
              <w:ind w:right="-1"/>
              <w:jc w:val="center"/>
              <w:rPr>
                <w:rFonts w:cs="Arial"/>
                <w:szCs w:val="18"/>
                <w:lang w:val="en-GB"/>
              </w:rPr>
            </w:pPr>
            <w:r>
              <w:rPr>
                <w:rFonts w:cs="Arial"/>
                <w:szCs w:val="18"/>
                <w:lang w:val="en-GB"/>
              </w:rPr>
              <w:t>33.1</w:t>
            </w:r>
          </w:p>
        </w:tc>
      </w:tr>
      <w:tr w:rsidR="009E336C" w:rsidRPr="00B57B36" w14:paraId="6F5E2711" w14:textId="77777777" w:rsidTr="009E336C">
        <w:tc>
          <w:tcPr>
            <w:tcW w:w="1119" w:type="dxa"/>
            <w:shd w:val="clear" w:color="auto" w:fill="FFFFFF"/>
          </w:tcPr>
          <w:p w14:paraId="34CCCEBB" w14:textId="65D79875" w:rsidR="009E336C" w:rsidRPr="00B57B36" w:rsidRDefault="009E336C" w:rsidP="008759F8">
            <w:pPr>
              <w:pStyle w:val="CETBodytext"/>
              <w:ind w:right="-1"/>
              <w:jc w:val="left"/>
              <w:rPr>
                <w:rFonts w:cs="Arial"/>
                <w:szCs w:val="18"/>
                <w:lang w:val="en-GB"/>
              </w:rPr>
            </w:pPr>
            <w:r>
              <w:rPr>
                <w:lang w:val="en-GB"/>
              </w:rPr>
              <w:t>HC</w:t>
            </w:r>
            <w:r w:rsidRPr="00A812BD">
              <w:rPr>
                <w:vertAlign w:val="subscript"/>
                <w:lang w:val="en-GB"/>
              </w:rPr>
              <w:t>CF</w:t>
            </w:r>
            <w:r>
              <w:rPr>
                <w:lang w:val="en-GB"/>
              </w:rPr>
              <w:t>230</w:t>
            </w:r>
          </w:p>
        </w:tc>
        <w:tc>
          <w:tcPr>
            <w:tcW w:w="1096" w:type="dxa"/>
            <w:shd w:val="clear" w:color="auto" w:fill="FFFFFF"/>
          </w:tcPr>
          <w:p w14:paraId="3023A0B8" w14:textId="32CF01D9" w:rsidR="009E336C" w:rsidRPr="00EB7C8C" w:rsidRDefault="00EB7C8C" w:rsidP="008759F8">
            <w:pPr>
              <w:pStyle w:val="CETBodytext"/>
              <w:ind w:right="-1"/>
              <w:jc w:val="center"/>
              <w:rPr>
                <w:rFonts w:cs="Arial"/>
                <w:szCs w:val="18"/>
                <w:lang w:val="en-GB"/>
              </w:rPr>
            </w:pPr>
            <w:r>
              <w:rPr>
                <w:rFonts w:cs="Arial"/>
                <w:szCs w:val="18"/>
                <w:lang w:val="en-GB"/>
              </w:rPr>
              <w:t>62.9</w:t>
            </w:r>
          </w:p>
        </w:tc>
        <w:tc>
          <w:tcPr>
            <w:tcW w:w="1082" w:type="dxa"/>
            <w:shd w:val="clear" w:color="auto" w:fill="FFFFFF"/>
          </w:tcPr>
          <w:p w14:paraId="46830C2E" w14:textId="51BAD760" w:rsidR="009E336C" w:rsidRPr="00EB7C8C" w:rsidRDefault="00EB7C8C" w:rsidP="008759F8">
            <w:pPr>
              <w:pStyle w:val="CETBodytext"/>
              <w:ind w:right="-1"/>
              <w:jc w:val="center"/>
              <w:rPr>
                <w:rFonts w:cs="Arial"/>
                <w:szCs w:val="18"/>
                <w:lang w:val="en-GB"/>
              </w:rPr>
            </w:pPr>
            <w:r>
              <w:rPr>
                <w:rFonts w:cs="Arial"/>
                <w:szCs w:val="18"/>
                <w:lang w:val="en-GB"/>
              </w:rPr>
              <w:t>4.7</w:t>
            </w:r>
          </w:p>
        </w:tc>
        <w:tc>
          <w:tcPr>
            <w:tcW w:w="1096" w:type="dxa"/>
            <w:shd w:val="clear" w:color="auto" w:fill="FFFFFF"/>
          </w:tcPr>
          <w:p w14:paraId="61D982F1" w14:textId="65054FDB" w:rsidR="009E336C" w:rsidRPr="00EB7C8C" w:rsidRDefault="00EB7C8C" w:rsidP="008759F8">
            <w:pPr>
              <w:pStyle w:val="CETBodytext"/>
              <w:ind w:right="-1"/>
              <w:jc w:val="center"/>
              <w:rPr>
                <w:rFonts w:cs="Arial"/>
                <w:szCs w:val="18"/>
                <w:lang w:val="en-GB"/>
              </w:rPr>
            </w:pPr>
            <w:r>
              <w:rPr>
                <w:rFonts w:cs="Arial"/>
                <w:szCs w:val="18"/>
                <w:lang w:val="en-GB"/>
              </w:rPr>
              <w:t>1.6</w:t>
            </w:r>
          </w:p>
        </w:tc>
        <w:tc>
          <w:tcPr>
            <w:tcW w:w="1098" w:type="dxa"/>
            <w:shd w:val="clear" w:color="auto" w:fill="FFFFFF"/>
          </w:tcPr>
          <w:p w14:paraId="7081380E" w14:textId="14C959B7" w:rsidR="009E336C" w:rsidRPr="00EB7C8C" w:rsidRDefault="00EB7C8C" w:rsidP="008759F8">
            <w:pPr>
              <w:pStyle w:val="CETBodytext"/>
              <w:ind w:right="-1"/>
              <w:jc w:val="center"/>
              <w:rPr>
                <w:rFonts w:cs="Arial"/>
                <w:szCs w:val="18"/>
                <w:lang w:val="en-GB"/>
              </w:rPr>
            </w:pPr>
            <w:r>
              <w:rPr>
                <w:rFonts w:cs="Arial"/>
                <w:szCs w:val="18"/>
                <w:lang w:val="en-GB"/>
              </w:rPr>
              <w:t>29.9</w:t>
            </w:r>
          </w:p>
        </w:tc>
      </w:tr>
      <w:tr w:rsidR="009E336C" w:rsidRPr="00B57B36" w14:paraId="0D4AD9E2" w14:textId="77777777" w:rsidTr="009E336C">
        <w:tc>
          <w:tcPr>
            <w:tcW w:w="1119" w:type="dxa"/>
            <w:shd w:val="clear" w:color="auto" w:fill="FFFFFF"/>
          </w:tcPr>
          <w:p w14:paraId="0A0DB177" w14:textId="1B00B279" w:rsidR="009E336C" w:rsidRDefault="009E336C" w:rsidP="008759F8">
            <w:pPr>
              <w:pStyle w:val="CETBodytext"/>
              <w:ind w:right="-1"/>
              <w:jc w:val="left"/>
              <w:rPr>
                <w:rFonts w:cs="Arial"/>
                <w:szCs w:val="18"/>
                <w:lang w:val="en-GB"/>
              </w:rPr>
            </w:pPr>
            <w:r>
              <w:rPr>
                <w:lang w:val="en-GB"/>
              </w:rPr>
              <w:t>HC</w:t>
            </w:r>
            <w:r w:rsidRPr="00A812BD">
              <w:rPr>
                <w:vertAlign w:val="subscript"/>
                <w:lang w:val="en-GB"/>
              </w:rPr>
              <w:t>CF</w:t>
            </w:r>
            <w:r>
              <w:rPr>
                <w:lang w:val="en-GB"/>
              </w:rPr>
              <w:t>250</w:t>
            </w:r>
          </w:p>
        </w:tc>
        <w:tc>
          <w:tcPr>
            <w:tcW w:w="1096" w:type="dxa"/>
            <w:shd w:val="clear" w:color="auto" w:fill="FFFFFF"/>
          </w:tcPr>
          <w:p w14:paraId="4A5DD734" w14:textId="6293AA50" w:rsidR="009E336C" w:rsidRPr="00EB7C8C" w:rsidRDefault="00EB7C8C" w:rsidP="008759F8">
            <w:pPr>
              <w:pStyle w:val="CETBodytext"/>
              <w:ind w:right="-1"/>
              <w:jc w:val="center"/>
              <w:rPr>
                <w:rFonts w:cs="Arial"/>
                <w:szCs w:val="18"/>
                <w:lang w:val="en-GB"/>
              </w:rPr>
            </w:pPr>
            <w:r>
              <w:rPr>
                <w:rFonts w:cs="Arial"/>
                <w:szCs w:val="18"/>
                <w:lang w:val="en-GB"/>
              </w:rPr>
              <w:t>63.8</w:t>
            </w:r>
          </w:p>
        </w:tc>
        <w:tc>
          <w:tcPr>
            <w:tcW w:w="1082" w:type="dxa"/>
            <w:shd w:val="clear" w:color="auto" w:fill="FFFFFF"/>
          </w:tcPr>
          <w:p w14:paraId="71143B73" w14:textId="287A3F9A" w:rsidR="009E336C" w:rsidRPr="00EB7C8C" w:rsidRDefault="00EB7C8C" w:rsidP="008759F8">
            <w:pPr>
              <w:pStyle w:val="CETBodytext"/>
              <w:ind w:right="-1"/>
              <w:jc w:val="center"/>
              <w:rPr>
                <w:rFonts w:cs="Arial"/>
                <w:szCs w:val="18"/>
                <w:lang w:val="en-GB"/>
              </w:rPr>
            </w:pPr>
            <w:r>
              <w:rPr>
                <w:rFonts w:cs="Arial"/>
                <w:szCs w:val="18"/>
                <w:lang w:val="en-GB"/>
              </w:rPr>
              <w:t>4.5</w:t>
            </w:r>
          </w:p>
        </w:tc>
        <w:tc>
          <w:tcPr>
            <w:tcW w:w="1096" w:type="dxa"/>
            <w:shd w:val="clear" w:color="auto" w:fill="FFFFFF"/>
          </w:tcPr>
          <w:p w14:paraId="0D15CFD8" w14:textId="1C83515A" w:rsidR="009E336C" w:rsidRPr="00EB7C8C" w:rsidRDefault="00EB7C8C" w:rsidP="008759F8">
            <w:pPr>
              <w:pStyle w:val="CETBodytext"/>
              <w:ind w:right="-1"/>
              <w:jc w:val="center"/>
              <w:rPr>
                <w:rFonts w:cs="Arial"/>
                <w:szCs w:val="18"/>
                <w:lang w:val="en-GB"/>
              </w:rPr>
            </w:pPr>
            <w:r>
              <w:rPr>
                <w:rFonts w:cs="Arial"/>
                <w:szCs w:val="18"/>
                <w:lang w:val="en-GB"/>
              </w:rPr>
              <w:t>1.7</w:t>
            </w:r>
          </w:p>
        </w:tc>
        <w:tc>
          <w:tcPr>
            <w:tcW w:w="1098" w:type="dxa"/>
            <w:shd w:val="clear" w:color="auto" w:fill="FFFFFF"/>
          </w:tcPr>
          <w:p w14:paraId="18D33ECE" w14:textId="21B07820" w:rsidR="009E336C" w:rsidRPr="00EB7C8C" w:rsidRDefault="00EB7C8C" w:rsidP="008759F8">
            <w:pPr>
              <w:pStyle w:val="CETBodytext"/>
              <w:ind w:right="-1"/>
              <w:jc w:val="center"/>
              <w:rPr>
                <w:rFonts w:cs="Arial"/>
                <w:szCs w:val="18"/>
                <w:lang w:val="en-GB"/>
              </w:rPr>
            </w:pPr>
            <w:r>
              <w:rPr>
                <w:rFonts w:cs="Arial"/>
                <w:szCs w:val="18"/>
                <w:lang w:val="en-GB"/>
              </w:rPr>
              <w:t>28.7</w:t>
            </w:r>
          </w:p>
        </w:tc>
      </w:tr>
      <w:tr w:rsidR="009E336C" w:rsidRPr="00B57B36" w14:paraId="6A39DBF9" w14:textId="77777777" w:rsidTr="009E336C">
        <w:tc>
          <w:tcPr>
            <w:tcW w:w="1119" w:type="dxa"/>
            <w:shd w:val="clear" w:color="auto" w:fill="FFFFFF"/>
          </w:tcPr>
          <w:p w14:paraId="0B957CC2" w14:textId="04CB8A00" w:rsidR="009E336C" w:rsidRDefault="009E336C" w:rsidP="008759F8">
            <w:pPr>
              <w:pStyle w:val="CETBodytext"/>
              <w:ind w:right="-1"/>
              <w:jc w:val="left"/>
              <w:rPr>
                <w:rFonts w:cs="Arial"/>
                <w:szCs w:val="18"/>
                <w:lang w:val="en-GB"/>
              </w:rPr>
            </w:pPr>
            <w:r>
              <w:rPr>
                <w:lang w:val="en-GB"/>
              </w:rPr>
              <w:t>HC</w:t>
            </w:r>
            <w:r w:rsidRPr="00A812BD">
              <w:rPr>
                <w:vertAlign w:val="subscript"/>
                <w:lang w:val="en-GB"/>
              </w:rPr>
              <w:t>CF</w:t>
            </w:r>
            <w:r>
              <w:rPr>
                <w:lang w:val="en-GB"/>
              </w:rPr>
              <w:t>280</w:t>
            </w:r>
          </w:p>
        </w:tc>
        <w:tc>
          <w:tcPr>
            <w:tcW w:w="1096" w:type="dxa"/>
            <w:shd w:val="clear" w:color="auto" w:fill="FFFFFF"/>
          </w:tcPr>
          <w:p w14:paraId="00DFE729" w14:textId="120B7B74" w:rsidR="009E336C" w:rsidRPr="00EB7C8C" w:rsidRDefault="00EB7C8C" w:rsidP="008759F8">
            <w:pPr>
              <w:pStyle w:val="CETBodytext"/>
              <w:ind w:right="-1"/>
              <w:jc w:val="center"/>
              <w:rPr>
                <w:rFonts w:cs="Arial"/>
                <w:szCs w:val="18"/>
                <w:lang w:val="en-GB"/>
              </w:rPr>
            </w:pPr>
            <w:r>
              <w:rPr>
                <w:rFonts w:cs="Arial"/>
                <w:szCs w:val="18"/>
                <w:lang w:val="en-GB"/>
              </w:rPr>
              <w:t>65.2</w:t>
            </w:r>
          </w:p>
        </w:tc>
        <w:tc>
          <w:tcPr>
            <w:tcW w:w="1082" w:type="dxa"/>
            <w:shd w:val="clear" w:color="auto" w:fill="FFFFFF"/>
          </w:tcPr>
          <w:p w14:paraId="3038C74F" w14:textId="134642BE" w:rsidR="009E336C" w:rsidRPr="00EB7C8C" w:rsidRDefault="00EB7C8C" w:rsidP="008759F8">
            <w:pPr>
              <w:pStyle w:val="CETBodytext"/>
              <w:ind w:right="-1"/>
              <w:jc w:val="center"/>
              <w:rPr>
                <w:rFonts w:cs="Arial"/>
                <w:szCs w:val="18"/>
                <w:lang w:val="en-GB"/>
              </w:rPr>
            </w:pPr>
            <w:r>
              <w:rPr>
                <w:rFonts w:cs="Arial"/>
                <w:szCs w:val="18"/>
                <w:lang w:val="en-GB"/>
              </w:rPr>
              <w:t>4.4</w:t>
            </w:r>
          </w:p>
        </w:tc>
        <w:tc>
          <w:tcPr>
            <w:tcW w:w="1096" w:type="dxa"/>
            <w:shd w:val="clear" w:color="auto" w:fill="FFFFFF"/>
          </w:tcPr>
          <w:p w14:paraId="28B3CAB7" w14:textId="0F79E4C4" w:rsidR="009E336C" w:rsidRPr="00EB7C8C" w:rsidRDefault="00EB7C8C" w:rsidP="008759F8">
            <w:pPr>
              <w:pStyle w:val="CETBodytext"/>
              <w:ind w:right="-1"/>
              <w:jc w:val="center"/>
              <w:rPr>
                <w:rFonts w:cs="Arial"/>
                <w:szCs w:val="18"/>
                <w:lang w:val="en-GB"/>
              </w:rPr>
            </w:pPr>
            <w:r>
              <w:rPr>
                <w:rFonts w:cs="Arial"/>
                <w:szCs w:val="18"/>
                <w:lang w:val="en-GB"/>
              </w:rPr>
              <w:t>1</w:t>
            </w:r>
            <w:r w:rsidR="0029668F">
              <w:rPr>
                <w:rFonts w:cs="Arial"/>
                <w:szCs w:val="18"/>
                <w:lang w:val="en-GB"/>
              </w:rPr>
              <w:t>.</w:t>
            </w:r>
            <w:r>
              <w:rPr>
                <w:rFonts w:cs="Arial"/>
                <w:szCs w:val="18"/>
                <w:lang w:val="en-GB"/>
              </w:rPr>
              <w:t>7</w:t>
            </w:r>
          </w:p>
        </w:tc>
        <w:tc>
          <w:tcPr>
            <w:tcW w:w="1098" w:type="dxa"/>
            <w:shd w:val="clear" w:color="auto" w:fill="FFFFFF"/>
          </w:tcPr>
          <w:p w14:paraId="14749884" w14:textId="5C0E9370" w:rsidR="009E336C" w:rsidRPr="00EB7C8C" w:rsidRDefault="00EB7C8C" w:rsidP="008759F8">
            <w:pPr>
              <w:pStyle w:val="CETBodytext"/>
              <w:ind w:right="-1"/>
              <w:jc w:val="center"/>
              <w:rPr>
                <w:rFonts w:cs="Arial"/>
                <w:szCs w:val="18"/>
                <w:lang w:val="en-GB"/>
              </w:rPr>
            </w:pPr>
            <w:r>
              <w:rPr>
                <w:rFonts w:cs="Arial"/>
                <w:szCs w:val="18"/>
                <w:lang w:val="en-GB"/>
              </w:rPr>
              <w:t>27.5</w:t>
            </w:r>
          </w:p>
        </w:tc>
      </w:tr>
    </w:tbl>
    <w:p w14:paraId="48B8C9DB" w14:textId="6C46BC15" w:rsidR="0080451F" w:rsidRDefault="0080451F" w:rsidP="0080451F">
      <w:pPr>
        <w:pStyle w:val="CETHeading1"/>
        <w:numPr>
          <w:ilvl w:val="0"/>
          <w:numId w:val="0"/>
        </w:numPr>
        <w:ind w:left="720"/>
        <w:rPr>
          <w:b w:val="0"/>
          <w:i/>
          <w:sz w:val="18"/>
          <w:lang w:val="en-GB"/>
        </w:rPr>
      </w:pPr>
      <w:r>
        <w:rPr>
          <w:b w:val="0"/>
          <w:i/>
          <w:sz w:val="18"/>
          <w:lang w:val="en-GB"/>
        </w:rPr>
        <w:t>*</w:t>
      </w:r>
      <w:r w:rsidRPr="00144B1E">
        <w:rPr>
          <w:b w:val="0"/>
          <w:i/>
          <w:sz w:val="18"/>
          <w:lang w:val="en-GB"/>
        </w:rPr>
        <w:t>Evaluated by difference</w:t>
      </w:r>
      <w:r>
        <w:rPr>
          <w:b w:val="0"/>
          <w:i/>
          <w:sz w:val="18"/>
          <w:lang w:val="en-GB"/>
        </w:rPr>
        <w:t xml:space="preserve">: </w:t>
      </w:r>
      <w:r w:rsidR="009E336C">
        <w:rPr>
          <w:b w:val="0"/>
          <w:i/>
          <w:sz w:val="18"/>
          <w:lang w:val="en-GB"/>
        </w:rPr>
        <w:t>O%</w:t>
      </w:r>
      <w:r>
        <w:rPr>
          <w:b w:val="0"/>
          <w:i/>
          <w:sz w:val="18"/>
          <w:lang w:val="en-GB"/>
        </w:rPr>
        <w:t xml:space="preserve"> = 100 </w:t>
      </w:r>
      <w:r w:rsidR="009E336C">
        <w:rPr>
          <w:b w:val="0"/>
          <w:i/>
          <w:sz w:val="18"/>
          <w:lang w:val="en-GB"/>
        </w:rPr>
        <w:t>–</w:t>
      </w:r>
      <w:r>
        <w:rPr>
          <w:b w:val="0"/>
          <w:i/>
          <w:sz w:val="18"/>
          <w:lang w:val="en-GB"/>
        </w:rPr>
        <w:t xml:space="preserve"> </w:t>
      </w:r>
      <w:r w:rsidR="009E336C">
        <w:rPr>
          <w:b w:val="0"/>
          <w:i/>
          <w:sz w:val="18"/>
          <w:lang w:val="en-GB"/>
        </w:rPr>
        <w:t>C%</w:t>
      </w:r>
      <w:r>
        <w:rPr>
          <w:b w:val="0"/>
          <w:i/>
          <w:sz w:val="18"/>
          <w:lang w:val="en-GB"/>
        </w:rPr>
        <w:t xml:space="preserve"> - </w:t>
      </w:r>
      <w:r w:rsidR="009E336C">
        <w:rPr>
          <w:b w:val="0"/>
          <w:i/>
          <w:sz w:val="18"/>
          <w:lang w:val="en-GB"/>
        </w:rPr>
        <w:t>H% - N% - ash</w:t>
      </w:r>
    </w:p>
    <w:p w14:paraId="58E99E0D" w14:textId="77777777" w:rsidR="00D252BC" w:rsidRDefault="00D252BC" w:rsidP="00D252BC">
      <w:pPr>
        <w:pStyle w:val="CETBodytext"/>
        <w:rPr>
          <w:lang w:val="en-GB"/>
        </w:rPr>
      </w:pPr>
    </w:p>
    <w:p w14:paraId="1951E10A" w14:textId="6E557FDD" w:rsidR="00D252BC" w:rsidRPr="00D252BC" w:rsidRDefault="00D252BC" w:rsidP="00D252BC">
      <w:pPr>
        <w:rPr>
          <w:rFonts w:cs="Arial"/>
          <w:szCs w:val="18"/>
        </w:rPr>
      </w:pPr>
      <w:r w:rsidRPr="00D252BC">
        <w:rPr>
          <w:rFonts w:cs="Arial"/>
          <w:szCs w:val="18"/>
        </w:rPr>
        <w:t>Figure 1 shows the trend of complex viscosity of neat PBAT and PBAT containing hydrochar particles produced at different temperatures. Worth noting that the neat PBAT exhibit</w:t>
      </w:r>
      <w:r w:rsidR="000D691F">
        <w:rPr>
          <w:rFonts w:cs="Arial"/>
          <w:szCs w:val="18"/>
        </w:rPr>
        <w:t>ed</w:t>
      </w:r>
      <w:r w:rsidRPr="00D252BC">
        <w:rPr>
          <w:rFonts w:cs="Arial"/>
          <w:szCs w:val="18"/>
        </w:rPr>
        <w:t xml:space="preserve"> a well-pronounced Newtonian behaviour in the almost investigated frequency range and the HC addition le</w:t>
      </w:r>
      <w:r w:rsidR="000D691F">
        <w:rPr>
          <w:rFonts w:cs="Arial"/>
          <w:szCs w:val="18"/>
        </w:rPr>
        <w:t>d</w:t>
      </w:r>
      <w:r w:rsidRPr="00D252BC">
        <w:rPr>
          <w:rFonts w:cs="Arial"/>
          <w:szCs w:val="18"/>
        </w:rPr>
        <w:t xml:space="preserve"> to a significant increase of the viscosity values, modifying the rheological behaviour of the biopolymer. The addition of HC</w:t>
      </w:r>
      <w:r w:rsidR="0001713F" w:rsidRPr="0086002D">
        <w:rPr>
          <w:rFonts w:cs="Arial"/>
          <w:szCs w:val="18"/>
          <w:vertAlign w:val="subscript"/>
        </w:rPr>
        <w:t>CF</w:t>
      </w:r>
      <w:r w:rsidRPr="00D252BC">
        <w:rPr>
          <w:rFonts w:cs="Arial"/>
          <w:szCs w:val="18"/>
        </w:rPr>
        <w:t>200 le</w:t>
      </w:r>
      <w:r w:rsidR="000D691F">
        <w:rPr>
          <w:rFonts w:cs="Arial"/>
          <w:szCs w:val="18"/>
        </w:rPr>
        <w:t>d</w:t>
      </w:r>
      <w:r w:rsidRPr="00D252BC">
        <w:rPr>
          <w:rFonts w:cs="Arial"/>
          <w:szCs w:val="18"/>
        </w:rPr>
        <w:t xml:space="preserve"> to both effects, first, the appearance of significantly pronounced yield stress, and second, viscosity values increase in the hole frequency range. Interestingly, the addition of HC</w:t>
      </w:r>
      <w:r w:rsidR="00D2513A" w:rsidRPr="00D2513A">
        <w:rPr>
          <w:rFonts w:cs="Arial"/>
          <w:szCs w:val="18"/>
          <w:vertAlign w:val="subscript"/>
        </w:rPr>
        <w:t>CF</w:t>
      </w:r>
      <w:r w:rsidRPr="00D252BC">
        <w:rPr>
          <w:rFonts w:cs="Arial"/>
          <w:szCs w:val="18"/>
        </w:rPr>
        <w:t>250 and HC</w:t>
      </w:r>
      <w:r w:rsidR="00D2513A" w:rsidRPr="00D2513A">
        <w:rPr>
          <w:rFonts w:cs="Arial"/>
          <w:szCs w:val="18"/>
          <w:vertAlign w:val="subscript"/>
        </w:rPr>
        <w:t>CF</w:t>
      </w:r>
      <w:r w:rsidRPr="00D252BC">
        <w:rPr>
          <w:rFonts w:cs="Arial"/>
          <w:szCs w:val="18"/>
        </w:rPr>
        <w:t>280 le</w:t>
      </w:r>
      <w:r w:rsidR="000D691F">
        <w:rPr>
          <w:rFonts w:cs="Arial"/>
          <w:szCs w:val="18"/>
        </w:rPr>
        <w:t>d</w:t>
      </w:r>
      <w:r w:rsidRPr="00D252BC">
        <w:rPr>
          <w:rFonts w:cs="Arial"/>
          <w:szCs w:val="18"/>
        </w:rPr>
        <w:t xml:space="preserve"> to less pronounced effects on the rheological behaviour. The latter could be understood considering that the high production temperatures during hydrothermal treatment the carob less easily the surface functional groups and the interaction with the host matrix is less pronounced. Contrary, the HC</w:t>
      </w:r>
      <w:r w:rsidR="00D2513A" w:rsidRPr="00D2513A">
        <w:rPr>
          <w:rFonts w:cs="Arial"/>
          <w:szCs w:val="18"/>
          <w:vertAlign w:val="subscript"/>
        </w:rPr>
        <w:t>CF</w:t>
      </w:r>
      <w:r w:rsidRPr="00D252BC">
        <w:rPr>
          <w:rFonts w:cs="Arial"/>
          <w:szCs w:val="18"/>
        </w:rPr>
        <w:t>200 contains numerous surface groups and this le</w:t>
      </w:r>
      <w:r w:rsidR="000D691F">
        <w:rPr>
          <w:rFonts w:cs="Arial"/>
          <w:szCs w:val="18"/>
        </w:rPr>
        <w:t>d</w:t>
      </w:r>
      <w:r w:rsidRPr="00D252BC">
        <w:rPr>
          <w:rFonts w:cs="Arial"/>
          <w:szCs w:val="18"/>
        </w:rPr>
        <w:t xml:space="preserve"> to a more pronounced interaction/reaction with host matrix, inducing significant changes in rheological behaviour.</w:t>
      </w:r>
    </w:p>
    <w:p w14:paraId="184E925E" w14:textId="77777777" w:rsidR="00D252BC" w:rsidRDefault="00D252BC" w:rsidP="00D252BC">
      <w:pPr>
        <w:pStyle w:val="CETBodytext"/>
        <w:rPr>
          <w:lang w:val="en-GB"/>
        </w:rPr>
      </w:pPr>
    </w:p>
    <w:p w14:paraId="7614AE1A" w14:textId="611720D1" w:rsidR="00D252BC" w:rsidRPr="00DF3B4C" w:rsidRDefault="00346F2F" w:rsidP="00A36AA8">
      <w:pPr>
        <w:spacing w:line="240" w:lineRule="auto"/>
        <w:jc w:val="left"/>
        <w:rPr>
          <w:rFonts w:ascii="Times New Roman" w:hAnsi="Times New Roman"/>
          <w:sz w:val="24"/>
          <w:szCs w:val="24"/>
        </w:rPr>
      </w:pPr>
      <w:r>
        <w:rPr>
          <w:noProof/>
        </w:rPr>
        <w:lastRenderedPageBreak/>
        <w:drawing>
          <wp:inline distT="0" distB="0" distL="0" distR="0" wp14:anchorId="430E3D6F" wp14:editId="0AF9D5ED">
            <wp:extent cx="3157904" cy="2592705"/>
            <wp:effectExtent l="0" t="0" r="0" b="0"/>
            <wp:docPr id="28684986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49869" name="Immagine 286849869"/>
                    <pic:cNvPicPr/>
                  </pic:nvPicPr>
                  <pic:blipFill>
                    <a:blip r:embed="rId10">
                      <a:extLst>
                        <a:ext uri="{28A0092B-C50C-407E-A947-70E740481C1C}">
                          <a14:useLocalDpi xmlns:a14="http://schemas.microsoft.com/office/drawing/2010/main" val="0"/>
                        </a:ext>
                      </a:extLst>
                    </a:blip>
                    <a:stretch>
                      <a:fillRect/>
                    </a:stretch>
                  </pic:blipFill>
                  <pic:spPr>
                    <a:xfrm>
                      <a:off x="0" y="0"/>
                      <a:ext cx="3167241" cy="2600371"/>
                    </a:xfrm>
                    <a:prstGeom prst="rect">
                      <a:avLst/>
                    </a:prstGeom>
                  </pic:spPr>
                </pic:pic>
              </a:graphicData>
            </a:graphic>
          </wp:inline>
        </w:drawing>
      </w:r>
    </w:p>
    <w:p w14:paraId="1404166C" w14:textId="77777777" w:rsidR="00A36AA8" w:rsidRDefault="00A36AA8" w:rsidP="00A36AA8">
      <w:pPr>
        <w:spacing w:line="240" w:lineRule="auto"/>
        <w:rPr>
          <w:rStyle w:val="CETCaptionCarattere"/>
          <w:i w:val="0"/>
        </w:rPr>
      </w:pPr>
    </w:p>
    <w:p w14:paraId="12681E93" w14:textId="5139B91B" w:rsidR="00D252BC" w:rsidRPr="00A36AA8" w:rsidRDefault="00D252BC" w:rsidP="00A36AA8">
      <w:pPr>
        <w:spacing w:line="240" w:lineRule="auto"/>
        <w:rPr>
          <w:rStyle w:val="CETCaptionCarattere"/>
          <w:i w:val="0"/>
        </w:rPr>
      </w:pPr>
      <w:r w:rsidRPr="00A36AA8">
        <w:rPr>
          <w:rStyle w:val="CETCaptionCarattere"/>
          <w:i w:val="0"/>
        </w:rPr>
        <w:t>Figure 1: Complex viscosity as a function of the frequency of neat PBAT e PBAT containing 10</w:t>
      </w:r>
      <w:r w:rsidR="0051430B">
        <w:rPr>
          <w:rStyle w:val="CETCaptionCarattere"/>
          <w:i w:val="0"/>
        </w:rPr>
        <w:t xml:space="preserve"> </w:t>
      </w:r>
      <w:proofErr w:type="spellStart"/>
      <w:r w:rsidRPr="00A36AA8">
        <w:rPr>
          <w:rStyle w:val="CETCaptionCarattere"/>
          <w:i w:val="0"/>
        </w:rPr>
        <w:t>wt</w:t>
      </w:r>
      <w:proofErr w:type="spellEnd"/>
      <w:r w:rsidRPr="00A36AA8">
        <w:rPr>
          <w:rStyle w:val="CETCaptionCarattere"/>
          <w:i w:val="0"/>
        </w:rPr>
        <w:t xml:space="preserve">% of </w:t>
      </w:r>
      <w:proofErr w:type="spellStart"/>
      <w:r w:rsidRPr="00A36AA8">
        <w:rPr>
          <w:rStyle w:val="CETCaptionCarattere"/>
          <w:i w:val="0"/>
        </w:rPr>
        <w:t>hydrochar</w:t>
      </w:r>
      <w:proofErr w:type="spellEnd"/>
      <w:r w:rsidRPr="00A36AA8">
        <w:rPr>
          <w:rStyle w:val="CETCaptionCarattere"/>
          <w:i w:val="0"/>
        </w:rPr>
        <w:t xml:space="preserve"> particles </w:t>
      </w:r>
    </w:p>
    <w:p w14:paraId="430EB7EB" w14:textId="77777777" w:rsidR="00D252BC" w:rsidRPr="00D252BC" w:rsidRDefault="00D252BC" w:rsidP="00D252BC">
      <w:pPr>
        <w:rPr>
          <w:rFonts w:cs="Arial"/>
          <w:szCs w:val="18"/>
        </w:rPr>
      </w:pPr>
    </w:p>
    <w:p w14:paraId="26B28684" w14:textId="5FF703E7" w:rsidR="00D252BC" w:rsidRPr="00D252BC" w:rsidRDefault="00D252BC" w:rsidP="00D252BC">
      <w:pPr>
        <w:rPr>
          <w:rFonts w:cs="Arial"/>
          <w:szCs w:val="18"/>
        </w:rPr>
      </w:pPr>
      <w:r w:rsidRPr="00D252BC">
        <w:rPr>
          <w:rFonts w:cs="Arial"/>
          <w:szCs w:val="18"/>
        </w:rPr>
        <w:t>Figure 2a-c shows the values of the main mechanical properties, i.e. Young modulus, tensile strength and elongation at break, of neat PBAT and PBAT containing HC</w:t>
      </w:r>
      <w:r w:rsidR="00505FAB" w:rsidRPr="0086002D">
        <w:rPr>
          <w:rFonts w:cs="Arial"/>
          <w:szCs w:val="18"/>
          <w:vertAlign w:val="subscript"/>
        </w:rPr>
        <w:t>CF</w:t>
      </w:r>
      <w:r w:rsidRPr="00D252BC">
        <w:rPr>
          <w:rFonts w:cs="Arial"/>
          <w:szCs w:val="18"/>
        </w:rPr>
        <w:t>200, HC</w:t>
      </w:r>
      <w:r w:rsidR="00505FAB" w:rsidRPr="0086002D">
        <w:rPr>
          <w:rFonts w:cs="Arial"/>
          <w:szCs w:val="18"/>
          <w:vertAlign w:val="subscript"/>
        </w:rPr>
        <w:t>CF</w:t>
      </w:r>
      <w:r w:rsidRPr="00D252BC">
        <w:rPr>
          <w:rFonts w:cs="Arial"/>
          <w:szCs w:val="18"/>
        </w:rPr>
        <w:t>250 and HC</w:t>
      </w:r>
      <w:r w:rsidR="00505FAB" w:rsidRPr="0086002D">
        <w:rPr>
          <w:rFonts w:cs="Arial"/>
          <w:szCs w:val="18"/>
          <w:vertAlign w:val="subscript"/>
        </w:rPr>
        <w:t>CF</w:t>
      </w:r>
      <w:r w:rsidRPr="00D252BC">
        <w:rPr>
          <w:rFonts w:cs="Arial"/>
          <w:szCs w:val="18"/>
        </w:rPr>
        <w:t>280. The addition of the three kinds of HC le</w:t>
      </w:r>
      <w:r w:rsidR="00505FAB">
        <w:rPr>
          <w:rFonts w:cs="Arial"/>
          <w:szCs w:val="18"/>
        </w:rPr>
        <w:t>d</w:t>
      </w:r>
      <w:r w:rsidRPr="00D252BC">
        <w:rPr>
          <w:rFonts w:cs="Arial"/>
          <w:szCs w:val="18"/>
        </w:rPr>
        <w:t xml:space="preserve"> to a significant increase in the PBAT elastic modulus, and as noticeable, the increases are about three times for each sample, highlighting a well-pronounced beneficial effect of these particles on the PBAT rigidity. Interestingly, the tensile strength values remain</w:t>
      </w:r>
      <w:r w:rsidR="00505FAB">
        <w:rPr>
          <w:rFonts w:cs="Arial"/>
          <w:szCs w:val="18"/>
        </w:rPr>
        <w:t>ed</w:t>
      </w:r>
      <w:r w:rsidRPr="00D252BC">
        <w:rPr>
          <w:rFonts w:cs="Arial"/>
          <w:szCs w:val="18"/>
        </w:rPr>
        <w:t xml:space="preserve"> almost unchanged by </w:t>
      </w:r>
      <w:r w:rsidR="00CF4807">
        <w:rPr>
          <w:rFonts w:cs="Arial"/>
          <w:szCs w:val="18"/>
        </w:rPr>
        <w:t>the addition of hydrochars</w:t>
      </w:r>
      <w:r w:rsidRPr="00D252BC">
        <w:rPr>
          <w:rFonts w:cs="Arial"/>
          <w:szCs w:val="18"/>
        </w:rPr>
        <w:t>, although the elongation at break of PBAT result</w:t>
      </w:r>
      <w:r w:rsidR="00505FAB">
        <w:rPr>
          <w:rFonts w:cs="Arial"/>
          <w:szCs w:val="18"/>
        </w:rPr>
        <w:t>ed</w:t>
      </w:r>
      <w:r w:rsidRPr="00D252BC">
        <w:rPr>
          <w:rFonts w:cs="Arial"/>
          <w:szCs w:val="18"/>
        </w:rPr>
        <w:t xml:space="preserve"> significantly reduced. Therefore, the loss of system ductility must be taken into consideration when designing the application of PBAT/HC biocomposites.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69"/>
        <w:gridCol w:w="682"/>
      </w:tblGrid>
      <w:tr w:rsidR="00A36AA8" w:rsidRPr="00D252BC" w14:paraId="53F78E1B" w14:textId="77777777" w:rsidTr="009C32FA">
        <w:tc>
          <w:tcPr>
            <w:tcW w:w="4146" w:type="dxa"/>
          </w:tcPr>
          <w:p w14:paraId="76EB1194" w14:textId="43AACA57" w:rsidR="00D252BC" w:rsidRPr="00D252BC" w:rsidRDefault="00D252BC" w:rsidP="006303B2">
            <w:pPr>
              <w:jc w:val="center"/>
              <w:rPr>
                <w:rFonts w:cs="Arial"/>
                <w:szCs w:val="18"/>
              </w:rPr>
            </w:pPr>
          </w:p>
        </w:tc>
        <w:tc>
          <w:tcPr>
            <w:tcW w:w="607" w:type="dxa"/>
          </w:tcPr>
          <w:p w14:paraId="330E593F" w14:textId="6921ED7F" w:rsidR="00D252BC" w:rsidRPr="00D252BC" w:rsidRDefault="00D252BC" w:rsidP="006303B2">
            <w:pPr>
              <w:jc w:val="center"/>
              <w:rPr>
                <w:rFonts w:cs="Arial"/>
                <w:szCs w:val="18"/>
              </w:rPr>
            </w:pPr>
          </w:p>
        </w:tc>
        <w:tc>
          <w:tcPr>
            <w:tcW w:w="4034" w:type="dxa"/>
          </w:tcPr>
          <w:p w14:paraId="488290BD" w14:textId="0A2141C7" w:rsidR="00D252BC" w:rsidRPr="00D252BC" w:rsidRDefault="00D252BC" w:rsidP="006303B2">
            <w:pPr>
              <w:jc w:val="center"/>
              <w:rPr>
                <w:rFonts w:cs="Arial"/>
                <w:szCs w:val="18"/>
              </w:rPr>
            </w:pPr>
          </w:p>
        </w:tc>
      </w:tr>
      <w:tr w:rsidR="00A36AA8" w:rsidRPr="00D252BC" w14:paraId="261E26EA" w14:textId="77777777" w:rsidTr="009C32FA">
        <w:tc>
          <w:tcPr>
            <w:tcW w:w="4146" w:type="dxa"/>
          </w:tcPr>
          <w:p w14:paraId="5B138DC7" w14:textId="225D9C19" w:rsidR="00D252BC" w:rsidRPr="00D252BC" w:rsidRDefault="00505FAB" w:rsidP="006303B2">
            <w:pPr>
              <w:jc w:val="center"/>
              <w:rPr>
                <w:rFonts w:cs="Arial"/>
                <w:b/>
                <w:bCs/>
                <w:szCs w:val="18"/>
              </w:rPr>
            </w:pPr>
            <w:r w:rsidRPr="00505FAB">
              <w:rPr>
                <w:rFonts w:cs="Arial"/>
                <w:b/>
                <w:bCs/>
                <w:szCs w:val="18"/>
              </w:rPr>
              <w:drawing>
                <wp:inline distT="0" distB="0" distL="0" distR="0" wp14:anchorId="67D1E419" wp14:editId="24E36FF7">
                  <wp:extent cx="4830178" cy="376047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4842" cy="3771887"/>
                          </a:xfrm>
                          <a:prstGeom prst="rect">
                            <a:avLst/>
                          </a:prstGeom>
                        </pic:spPr>
                      </pic:pic>
                    </a:graphicData>
                  </a:graphic>
                </wp:inline>
              </w:drawing>
            </w:r>
          </w:p>
        </w:tc>
        <w:tc>
          <w:tcPr>
            <w:tcW w:w="607" w:type="dxa"/>
          </w:tcPr>
          <w:p w14:paraId="183301AF" w14:textId="7A6F4CE3" w:rsidR="00D252BC" w:rsidRPr="00D252BC" w:rsidRDefault="00D252BC" w:rsidP="006303B2">
            <w:pPr>
              <w:jc w:val="center"/>
              <w:rPr>
                <w:rFonts w:cs="Arial"/>
                <w:b/>
                <w:bCs/>
                <w:szCs w:val="18"/>
              </w:rPr>
            </w:pPr>
          </w:p>
        </w:tc>
        <w:tc>
          <w:tcPr>
            <w:tcW w:w="4034" w:type="dxa"/>
          </w:tcPr>
          <w:p w14:paraId="77D449BF" w14:textId="48CCF8BD" w:rsidR="00D252BC" w:rsidRPr="00D252BC" w:rsidRDefault="00D252BC" w:rsidP="006303B2">
            <w:pPr>
              <w:jc w:val="center"/>
              <w:rPr>
                <w:rFonts w:cs="Arial"/>
                <w:b/>
                <w:bCs/>
                <w:szCs w:val="18"/>
              </w:rPr>
            </w:pPr>
          </w:p>
        </w:tc>
      </w:tr>
    </w:tbl>
    <w:p w14:paraId="1892373D" w14:textId="38E51E6C" w:rsidR="009C32FA" w:rsidRDefault="009C32FA" w:rsidP="00A36AA8">
      <w:pPr>
        <w:rPr>
          <w:rFonts w:cs="Arial"/>
          <w:i/>
          <w:iCs/>
          <w:szCs w:val="18"/>
        </w:rPr>
      </w:pPr>
    </w:p>
    <w:p w14:paraId="6DC7A284" w14:textId="613DBD40" w:rsidR="00D252BC" w:rsidRPr="00D252BC" w:rsidRDefault="00D252BC" w:rsidP="00A36AA8">
      <w:pPr>
        <w:rPr>
          <w:rFonts w:cs="Arial"/>
          <w:i/>
          <w:iCs/>
          <w:szCs w:val="18"/>
        </w:rPr>
      </w:pPr>
      <w:r w:rsidRPr="00D252BC">
        <w:rPr>
          <w:rFonts w:cs="Arial"/>
          <w:i/>
          <w:iCs/>
          <w:szCs w:val="18"/>
        </w:rPr>
        <w:t>Figure 2: (a) Young modulus, (b) Tensile strength and (c) Elongation at break of neat PBAT e PBAT continuing 10wt% of hydrochar particles (HC)</w:t>
      </w:r>
    </w:p>
    <w:p w14:paraId="68D26B83" w14:textId="3E43EFC9" w:rsidR="00600535" w:rsidRPr="00B57B36" w:rsidRDefault="00600535" w:rsidP="00600535">
      <w:pPr>
        <w:pStyle w:val="CETHeading1"/>
        <w:rPr>
          <w:lang w:val="en-GB"/>
        </w:rPr>
      </w:pPr>
      <w:r w:rsidRPr="00B57B36">
        <w:rPr>
          <w:lang w:val="en-GB"/>
        </w:rPr>
        <w:lastRenderedPageBreak/>
        <w:t>Conclusions</w:t>
      </w:r>
    </w:p>
    <w:p w14:paraId="52DAFDE0" w14:textId="524F262E" w:rsidR="001D0CFB" w:rsidRDefault="00011326" w:rsidP="00600535">
      <w:pPr>
        <w:pStyle w:val="CETBodytext"/>
        <w:rPr>
          <w:lang w:val="en-GB"/>
        </w:rPr>
      </w:pPr>
      <w:r>
        <w:rPr>
          <w:lang w:val="en-GB"/>
        </w:rPr>
        <w:t xml:space="preserve">Hydrothermal carbonization of carob fruit demonstrated to be a valid technology for the energy upgrade of such a waste biomass. With the increase of HTC </w:t>
      </w:r>
      <w:proofErr w:type="gramStart"/>
      <w:r>
        <w:rPr>
          <w:lang w:val="en-GB"/>
        </w:rPr>
        <w:t>severity</w:t>
      </w:r>
      <w:proofErr w:type="gramEnd"/>
      <w:r>
        <w:rPr>
          <w:lang w:val="en-GB"/>
        </w:rPr>
        <w:t xml:space="preserve"> the produced CF hydrochars showed</w:t>
      </w:r>
      <w:r w:rsidR="00A208EA">
        <w:rPr>
          <w:lang w:val="en-GB"/>
        </w:rPr>
        <w:t xml:space="preserve"> (at 280 °C)</w:t>
      </w:r>
      <w:r>
        <w:rPr>
          <w:lang w:val="en-GB"/>
        </w:rPr>
        <w:t xml:space="preserve"> an increase </w:t>
      </w:r>
      <w:r w:rsidR="00505FAB">
        <w:rPr>
          <w:lang w:val="en-GB"/>
        </w:rPr>
        <w:t xml:space="preserve">in the </w:t>
      </w:r>
      <w:r>
        <w:rPr>
          <w:lang w:val="en-GB"/>
        </w:rPr>
        <w:t>fixed carbon and of high heating values up to 53.2% and 27.7 MJ/</w:t>
      </w:r>
      <w:proofErr w:type="spellStart"/>
      <w:r>
        <w:rPr>
          <w:lang w:val="en-GB"/>
        </w:rPr>
        <w:t>kg</w:t>
      </w:r>
      <w:r w:rsidR="0029668F" w:rsidRPr="0086002D">
        <w:rPr>
          <w:vertAlign w:val="subscript"/>
          <w:lang w:val="en-GB"/>
        </w:rPr>
        <w:t>HC</w:t>
      </w:r>
      <w:proofErr w:type="spellEnd"/>
      <w:r w:rsidR="00A208EA">
        <w:rPr>
          <w:lang w:val="en-GB"/>
        </w:rPr>
        <w:t xml:space="preserve"> respectively. When comparing with the starting material</w:t>
      </w:r>
      <w:r w:rsidR="00505FAB">
        <w:rPr>
          <w:lang w:val="en-GB"/>
        </w:rPr>
        <w:t>,</w:t>
      </w:r>
      <w:r w:rsidR="00A208EA">
        <w:rPr>
          <w:lang w:val="en-GB"/>
        </w:rPr>
        <w:t xml:space="preserve"> </w:t>
      </w:r>
      <w:r w:rsidR="00505FAB">
        <w:rPr>
          <w:lang w:val="en-GB"/>
        </w:rPr>
        <w:t xml:space="preserve">CF </w:t>
      </w:r>
      <w:proofErr w:type="spellStart"/>
      <w:r w:rsidR="00A208EA">
        <w:rPr>
          <w:lang w:val="en-GB"/>
        </w:rPr>
        <w:t>hydroc</w:t>
      </w:r>
      <w:r w:rsidR="00C8051E">
        <w:rPr>
          <w:lang w:val="en-GB"/>
        </w:rPr>
        <w:t>h</w:t>
      </w:r>
      <w:r w:rsidR="00A208EA">
        <w:rPr>
          <w:lang w:val="en-GB"/>
        </w:rPr>
        <w:t>ar</w:t>
      </w:r>
      <w:r w:rsidR="00505FAB">
        <w:rPr>
          <w:lang w:val="en-GB"/>
        </w:rPr>
        <w:t>s</w:t>
      </w:r>
      <w:proofErr w:type="spellEnd"/>
      <w:r w:rsidR="00A208EA">
        <w:rPr>
          <w:lang w:val="en-GB"/>
        </w:rPr>
        <w:t xml:space="preserve"> showed also a significant reduction in the ash content and an energy densification ratio between 135 and 159%. All these data confirm the high potentiality of CF </w:t>
      </w:r>
      <w:proofErr w:type="spellStart"/>
      <w:r w:rsidR="00A208EA">
        <w:rPr>
          <w:lang w:val="en-GB"/>
        </w:rPr>
        <w:t>hydrochars</w:t>
      </w:r>
      <w:proofErr w:type="spellEnd"/>
      <w:r w:rsidR="00A208EA">
        <w:rPr>
          <w:lang w:val="en-GB"/>
        </w:rPr>
        <w:t xml:space="preserve"> </w:t>
      </w:r>
      <w:r w:rsidR="009D6A65">
        <w:rPr>
          <w:lang w:val="en-GB"/>
        </w:rPr>
        <w:t>as solid biofuel</w:t>
      </w:r>
      <w:r w:rsidR="00505FAB">
        <w:rPr>
          <w:lang w:val="en-GB"/>
        </w:rPr>
        <w:t>s for boilers</w:t>
      </w:r>
      <w:r w:rsidR="009D6A65">
        <w:rPr>
          <w:lang w:val="en-GB"/>
        </w:rPr>
        <w:t xml:space="preserve"> both in substitution </w:t>
      </w:r>
      <w:r w:rsidR="00505FAB">
        <w:rPr>
          <w:lang w:val="en-GB"/>
        </w:rPr>
        <w:t>o</w:t>
      </w:r>
      <w:r w:rsidR="00505FAB">
        <w:rPr>
          <w:lang w:val="en-GB"/>
        </w:rPr>
        <w:t>r</w:t>
      </w:r>
      <w:r w:rsidR="00505FAB">
        <w:rPr>
          <w:lang w:val="en-GB"/>
        </w:rPr>
        <w:t xml:space="preserve"> </w:t>
      </w:r>
      <w:r w:rsidR="009D6A65">
        <w:rPr>
          <w:lang w:val="en-GB"/>
        </w:rPr>
        <w:t>in a mixture with standard mineral coals.</w:t>
      </w:r>
      <w:r>
        <w:rPr>
          <w:lang w:val="en-GB"/>
        </w:rPr>
        <w:t xml:space="preserve">  </w:t>
      </w:r>
    </w:p>
    <w:p w14:paraId="2F585376" w14:textId="691315E0" w:rsidR="00E0515A" w:rsidRPr="00F34B16" w:rsidRDefault="00E0515A" w:rsidP="00E0515A">
      <w:r w:rsidRPr="00F34B16">
        <w:t xml:space="preserve">The addition of </w:t>
      </w:r>
      <w:r w:rsidR="00505FAB">
        <w:t xml:space="preserve">CF </w:t>
      </w:r>
      <w:proofErr w:type="spellStart"/>
      <w:r w:rsidR="009D6A65">
        <w:t>hydrochars</w:t>
      </w:r>
      <w:proofErr w:type="spellEnd"/>
      <w:r w:rsidR="009D6A65">
        <w:t xml:space="preserve"> </w:t>
      </w:r>
      <w:r w:rsidRPr="00F34B16">
        <w:t xml:space="preserve">at </w:t>
      </w:r>
      <w:r w:rsidR="00505FAB">
        <w:t xml:space="preserve">a concentration of </w:t>
      </w:r>
      <w:r w:rsidRPr="00F34B16">
        <w:t xml:space="preserve">10 </w:t>
      </w:r>
      <w:proofErr w:type="spellStart"/>
      <w:r w:rsidRPr="00F34B16">
        <w:t>wt</w:t>
      </w:r>
      <w:proofErr w:type="spellEnd"/>
      <w:r w:rsidRPr="00F34B16">
        <w:t>% to PBAT le</w:t>
      </w:r>
      <w:r w:rsidR="003167AF">
        <w:t xml:space="preserve">d </w:t>
      </w:r>
      <w:r w:rsidRPr="00F34B16">
        <w:t>to the increase of viscosity</w:t>
      </w:r>
      <w:r w:rsidR="00505FAB">
        <w:t xml:space="preserve">, </w:t>
      </w:r>
      <w:r w:rsidRPr="00F34B16">
        <w:t>highlighting a beneficial effect on the rheological behaviour of PBAT</w:t>
      </w:r>
      <w:r w:rsidRPr="0086002D">
        <w:t xml:space="preserve">. The increase of viscosity values </w:t>
      </w:r>
      <w:r w:rsidR="000463DB" w:rsidRPr="0086002D">
        <w:t>did</w:t>
      </w:r>
      <w:r w:rsidR="00C50E6A" w:rsidRPr="0086002D">
        <w:t xml:space="preserve"> </w:t>
      </w:r>
      <w:r w:rsidRPr="0086002D">
        <w:t>not compromise the processing of the bio</w:t>
      </w:r>
      <w:r w:rsidR="008874BE" w:rsidRPr="0086002D">
        <w:t>-</w:t>
      </w:r>
      <w:r w:rsidRPr="0086002D">
        <w:t>composites through classical melt processing production by extrusion</w:t>
      </w:r>
      <w:r w:rsidR="000463DB" w:rsidRPr="0086002D">
        <w:t xml:space="preserve"> and,</w:t>
      </w:r>
      <w:r w:rsidRPr="0086002D">
        <w:t xml:space="preserve"> </w:t>
      </w:r>
      <w:r w:rsidR="000463DB" w:rsidRPr="0086002D">
        <w:t>a</w:t>
      </w:r>
      <w:r w:rsidRPr="0086002D">
        <w:t>s demonstrated</w:t>
      </w:r>
      <w:r w:rsidR="000463DB" w:rsidRPr="0086002D">
        <w:t>,</w:t>
      </w:r>
      <w:r w:rsidRPr="0086002D">
        <w:t xml:space="preserve"> the </w:t>
      </w:r>
      <w:r w:rsidR="00011326" w:rsidRPr="0086002D">
        <w:t xml:space="preserve">addition of </w:t>
      </w:r>
      <w:proofErr w:type="spellStart"/>
      <w:r w:rsidR="00011326" w:rsidRPr="0086002D">
        <w:t>hydroc</w:t>
      </w:r>
      <w:r w:rsidR="00C8051E" w:rsidRPr="0086002D">
        <w:t>h</w:t>
      </w:r>
      <w:r w:rsidR="00011326" w:rsidRPr="0086002D">
        <w:t>ars</w:t>
      </w:r>
      <w:proofErr w:type="spellEnd"/>
      <w:r w:rsidR="00011326" w:rsidRPr="0086002D">
        <w:t xml:space="preserve"> particles to PBAT</w:t>
      </w:r>
      <w:r w:rsidRPr="0086002D">
        <w:t xml:space="preserve"> significantly increase</w:t>
      </w:r>
      <w:r w:rsidR="003167AF" w:rsidRPr="0086002D">
        <w:t>d</w:t>
      </w:r>
      <w:r w:rsidRPr="0086002D">
        <w:t xml:space="preserve"> the Yo</w:t>
      </w:r>
      <w:r w:rsidR="00011326" w:rsidRPr="0086002D">
        <w:t>u</w:t>
      </w:r>
      <w:r w:rsidRPr="0086002D">
        <w:t>ng</w:t>
      </w:r>
      <w:r w:rsidR="00630756" w:rsidRPr="0086002D">
        <w:t>’s</w:t>
      </w:r>
      <w:r w:rsidRPr="0086002D">
        <w:t xml:space="preserve"> modulus, improving the system rigidity, although</w:t>
      </w:r>
      <w:r w:rsidR="00011326" w:rsidRPr="0086002D">
        <w:t>, as expected,</w:t>
      </w:r>
      <w:r w:rsidRPr="0086002D">
        <w:t xml:space="preserve"> </w:t>
      </w:r>
      <w:r w:rsidR="003167AF" w:rsidRPr="0086002D">
        <w:t>penaliz</w:t>
      </w:r>
      <w:r w:rsidR="00505FAB" w:rsidRPr="0086002D">
        <w:t>ed</w:t>
      </w:r>
      <w:r w:rsidR="003167AF" w:rsidRPr="0086002D">
        <w:t xml:space="preserve"> </w:t>
      </w:r>
      <w:r w:rsidRPr="0086002D">
        <w:t>the ductility.</w:t>
      </w:r>
      <w:r w:rsidRPr="00F34B16">
        <w:t xml:space="preserve"> </w:t>
      </w:r>
    </w:p>
    <w:p w14:paraId="27C7997F" w14:textId="77777777" w:rsidR="00E0515A" w:rsidRDefault="00E0515A" w:rsidP="00600535">
      <w:pPr>
        <w:pStyle w:val="CETBodytext"/>
        <w:rPr>
          <w:lang w:val="en-GB"/>
        </w:rPr>
      </w:pPr>
    </w:p>
    <w:p w14:paraId="459D05E6" w14:textId="77777777" w:rsidR="00600535" w:rsidRPr="00B57B36" w:rsidRDefault="00600535" w:rsidP="00600535">
      <w:pPr>
        <w:pStyle w:val="CETAcknowledgementstitle"/>
      </w:pPr>
      <w:r w:rsidRPr="00B57B36">
        <w:t>Acknowledgments</w:t>
      </w:r>
    </w:p>
    <w:p w14:paraId="5ABFFE0A" w14:textId="1281A339" w:rsidR="004B71E1" w:rsidRPr="00F57510" w:rsidRDefault="004B71E1" w:rsidP="004B71E1">
      <w:pPr>
        <w:spacing w:line="240" w:lineRule="auto"/>
      </w:pPr>
      <w:r w:rsidRPr="00F57510">
        <w:t>The research was carried out in the framework of the "</w:t>
      </w:r>
      <w:proofErr w:type="spellStart"/>
      <w:r w:rsidRPr="00F57510">
        <w:t>SiciliAn</w:t>
      </w:r>
      <w:proofErr w:type="spellEnd"/>
      <w:r w:rsidRPr="00F57510">
        <w:t xml:space="preserve"> </w:t>
      </w:r>
      <w:proofErr w:type="spellStart"/>
      <w:r w:rsidRPr="00F57510">
        <w:t>MicronanOTecH</w:t>
      </w:r>
      <w:proofErr w:type="spellEnd"/>
      <w:r w:rsidRPr="00F57510">
        <w:t xml:space="preserve"> Research </w:t>
      </w:r>
      <w:proofErr w:type="gramStart"/>
      <w:r w:rsidRPr="00F57510">
        <w:t>And</w:t>
      </w:r>
      <w:proofErr w:type="gramEnd"/>
      <w:r w:rsidRPr="00F57510">
        <w:t xml:space="preserve"> Innovation Center - SAMOTHRACE" project (MUR, PNRR-M4C2, ECS_00000022).</w:t>
      </w:r>
    </w:p>
    <w:p w14:paraId="4F1327F8" w14:textId="77777777" w:rsidR="00600535" w:rsidRPr="00B57B36" w:rsidRDefault="00600535" w:rsidP="00600535">
      <w:pPr>
        <w:pStyle w:val="CETReference"/>
      </w:pPr>
      <w:r w:rsidRPr="00B57B36">
        <w:t>References</w:t>
      </w:r>
    </w:p>
    <w:p w14:paraId="254389A0" w14:textId="77777777" w:rsidR="00DC2F85" w:rsidRPr="00DC2F85" w:rsidRDefault="00DC2F85" w:rsidP="00DC2F85">
      <w:pPr>
        <w:rPr>
          <w:rFonts w:cs="Arial"/>
          <w:i/>
          <w:szCs w:val="18"/>
          <w:lang w:val="en-US"/>
        </w:rPr>
      </w:pPr>
    </w:p>
    <w:p w14:paraId="61ACBC7F" w14:textId="792F18F1" w:rsidR="00234C60" w:rsidRDefault="00234C60" w:rsidP="00234C60">
      <w:pPr>
        <w:pStyle w:val="CETReferencetext"/>
        <w:rPr>
          <w:rFonts w:cs="Arial"/>
          <w:szCs w:val="18"/>
        </w:rPr>
      </w:pPr>
      <w:r>
        <w:rPr>
          <w:rFonts w:cs="Arial"/>
          <w:szCs w:val="18"/>
        </w:rPr>
        <w:t xml:space="preserve">Di </w:t>
      </w:r>
      <w:proofErr w:type="spellStart"/>
      <w:r>
        <w:rPr>
          <w:rFonts w:cs="Arial"/>
          <w:szCs w:val="18"/>
        </w:rPr>
        <w:t>Lauro</w:t>
      </w:r>
      <w:proofErr w:type="spellEnd"/>
      <w:r>
        <w:rPr>
          <w:rFonts w:cs="Arial"/>
          <w:szCs w:val="18"/>
        </w:rPr>
        <w:t xml:space="preserve"> F., Balsamo M., </w:t>
      </w:r>
      <w:proofErr w:type="spellStart"/>
      <w:r>
        <w:rPr>
          <w:rFonts w:cs="Arial"/>
          <w:szCs w:val="18"/>
        </w:rPr>
        <w:t>Solimene</w:t>
      </w:r>
      <w:proofErr w:type="spellEnd"/>
      <w:r>
        <w:rPr>
          <w:rFonts w:cs="Arial"/>
          <w:szCs w:val="18"/>
        </w:rPr>
        <w:t xml:space="preserve"> R., </w:t>
      </w:r>
      <w:proofErr w:type="spellStart"/>
      <w:r>
        <w:rPr>
          <w:rFonts w:cs="Arial"/>
          <w:szCs w:val="18"/>
        </w:rPr>
        <w:t>Salatino</w:t>
      </w:r>
      <w:proofErr w:type="spellEnd"/>
      <w:r>
        <w:rPr>
          <w:rFonts w:cs="Arial"/>
          <w:szCs w:val="18"/>
        </w:rPr>
        <w:t xml:space="preserve"> P., </w:t>
      </w:r>
      <w:proofErr w:type="spellStart"/>
      <w:r>
        <w:rPr>
          <w:rFonts w:cs="Arial"/>
          <w:szCs w:val="18"/>
        </w:rPr>
        <w:t>Montagnaro</w:t>
      </w:r>
      <w:proofErr w:type="spellEnd"/>
      <w:r>
        <w:rPr>
          <w:rFonts w:cs="Arial"/>
          <w:szCs w:val="18"/>
        </w:rPr>
        <w:t xml:space="preserve"> F., 2022, </w:t>
      </w:r>
      <w:r w:rsidRPr="00234C60">
        <w:rPr>
          <w:rFonts w:cs="Arial"/>
          <w:szCs w:val="18"/>
        </w:rPr>
        <w:t>Hydrothermal Liquefaction Process to Obtain Sludge-Derived Bio-Fuels: Setup of the Experimental Apparatus and Preliminary Tests</w:t>
      </w:r>
      <w:r>
        <w:rPr>
          <w:rFonts w:cs="Arial"/>
          <w:szCs w:val="18"/>
        </w:rPr>
        <w:t>, Chemical Engineering Transaction</w:t>
      </w:r>
      <w:r w:rsidR="00EC1EB5">
        <w:rPr>
          <w:rFonts w:cs="Arial"/>
          <w:szCs w:val="18"/>
        </w:rPr>
        <w:t>,</w:t>
      </w:r>
      <w:r w:rsidRPr="00DC2F85">
        <w:rPr>
          <w:rFonts w:cs="Arial"/>
          <w:szCs w:val="18"/>
        </w:rPr>
        <w:t xml:space="preserve"> </w:t>
      </w:r>
      <w:r>
        <w:rPr>
          <w:rFonts w:cs="Arial"/>
          <w:szCs w:val="18"/>
        </w:rPr>
        <w:t xml:space="preserve">92, </w:t>
      </w:r>
      <w:r w:rsidRPr="00DC2F85">
        <w:rPr>
          <w:rFonts w:cs="Arial"/>
          <w:szCs w:val="18"/>
        </w:rPr>
        <w:t>181–186.</w:t>
      </w:r>
    </w:p>
    <w:p w14:paraId="54C0D9DA" w14:textId="132DAC51" w:rsidR="009D4430" w:rsidRDefault="009D4430" w:rsidP="009D4430">
      <w:pPr>
        <w:ind w:left="284" w:hanging="284"/>
        <w:rPr>
          <w:rFonts w:cs="Arial"/>
          <w:szCs w:val="18"/>
        </w:rPr>
      </w:pPr>
      <w:r w:rsidRPr="00BE2D27">
        <w:rPr>
          <w:rFonts w:cs="Arial"/>
          <w:szCs w:val="18"/>
        </w:rPr>
        <w:t xml:space="preserve">Kim D., Lee K., Park K.Y., 2016, Upgrading the characteristics of biochar from cellulose, lignin, and </w:t>
      </w:r>
      <w:proofErr w:type="spellStart"/>
      <w:r w:rsidRPr="00BE2D27">
        <w:rPr>
          <w:rFonts w:cs="Arial"/>
          <w:szCs w:val="18"/>
        </w:rPr>
        <w:t>xylan</w:t>
      </w:r>
      <w:proofErr w:type="spellEnd"/>
      <w:r w:rsidRPr="00BE2D27">
        <w:rPr>
          <w:rFonts w:cs="Arial"/>
          <w:szCs w:val="18"/>
        </w:rPr>
        <w:t xml:space="preserve"> for solid biofuel production from biomass by hydrothermal carbonization, Journal of Industrial and Engineering Chemistry, 42, 95-100.</w:t>
      </w:r>
    </w:p>
    <w:p w14:paraId="68285BB7" w14:textId="54D3F00B" w:rsidR="00CF4807" w:rsidRDefault="00CF4807" w:rsidP="00CF4807">
      <w:pPr>
        <w:pStyle w:val="CETReferencetext"/>
        <w:rPr>
          <w:rFonts w:cs="Arial"/>
          <w:szCs w:val="18"/>
        </w:rPr>
      </w:pPr>
      <w:r w:rsidRPr="00CF4807">
        <w:rPr>
          <w:rFonts w:cs="Arial"/>
          <w:szCs w:val="18"/>
        </w:rPr>
        <w:t xml:space="preserve">Kruse A., </w:t>
      </w:r>
      <w:proofErr w:type="spellStart"/>
      <w:r w:rsidRPr="00CF4807">
        <w:rPr>
          <w:rFonts w:cs="Arial"/>
          <w:szCs w:val="18"/>
        </w:rPr>
        <w:t>Dahmen</w:t>
      </w:r>
      <w:proofErr w:type="spellEnd"/>
      <w:r w:rsidRPr="00CF4807">
        <w:rPr>
          <w:rFonts w:cs="Arial"/>
          <w:szCs w:val="18"/>
        </w:rPr>
        <w:t xml:space="preserve"> N., 2015, Water - A magic solvent for biomass conversion, J. </w:t>
      </w:r>
      <w:proofErr w:type="spellStart"/>
      <w:r w:rsidRPr="00CF4807">
        <w:rPr>
          <w:rFonts w:cs="Arial"/>
          <w:szCs w:val="18"/>
        </w:rPr>
        <w:t>Supercrit</w:t>
      </w:r>
      <w:proofErr w:type="spellEnd"/>
      <w:r w:rsidRPr="00CF4807">
        <w:rPr>
          <w:rFonts w:cs="Arial"/>
          <w:szCs w:val="18"/>
        </w:rPr>
        <w:t>. Fluids, 96, 36–45.</w:t>
      </w:r>
    </w:p>
    <w:p w14:paraId="56E5B1F1" w14:textId="77777777" w:rsidR="00F76035" w:rsidRDefault="00234C60" w:rsidP="0086002D">
      <w:pPr>
        <w:pStyle w:val="CETReferencetext"/>
        <w:rPr>
          <w:rFonts w:cs="Arial"/>
          <w:szCs w:val="18"/>
        </w:rPr>
      </w:pPr>
      <w:proofErr w:type="spellStart"/>
      <w:r>
        <w:rPr>
          <w:rFonts w:cs="Arial"/>
          <w:szCs w:val="18"/>
        </w:rPr>
        <w:t>Hitzl</w:t>
      </w:r>
      <w:proofErr w:type="spellEnd"/>
      <w:r w:rsidR="009514FB">
        <w:rPr>
          <w:rFonts w:cs="Arial"/>
          <w:szCs w:val="18"/>
        </w:rPr>
        <w:t xml:space="preserve"> M., </w:t>
      </w:r>
      <w:proofErr w:type="spellStart"/>
      <w:r w:rsidR="009514FB">
        <w:rPr>
          <w:rFonts w:cs="Arial"/>
          <w:szCs w:val="18"/>
        </w:rPr>
        <w:t>Corma</w:t>
      </w:r>
      <w:proofErr w:type="spellEnd"/>
      <w:r w:rsidR="009514FB">
        <w:rPr>
          <w:rFonts w:cs="Arial"/>
          <w:szCs w:val="18"/>
        </w:rPr>
        <w:t xml:space="preserve"> A., Pomares</w:t>
      </w:r>
      <w:r w:rsidR="009C1AB0">
        <w:rPr>
          <w:rFonts w:cs="Arial"/>
          <w:szCs w:val="18"/>
        </w:rPr>
        <w:t xml:space="preserve"> F., Renz F., </w:t>
      </w:r>
      <w:r w:rsidR="009514FB">
        <w:rPr>
          <w:rFonts w:cs="Arial"/>
          <w:szCs w:val="18"/>
        </w:rPr>
        <w:t xml:space="preserve">2015, </w:t>
      </w:r>
      <w:r w:rsidR="009514FB">
        <w:t>The hydrothermal carbonization (HTC) plant as a decentral biorefinery for wet biomass, Catalysis Today, 257, 154-159.</w:t>
      </w:r>
      <w:r>
        <w:rPr>
          <w:rFonts w:cs="Arial"/>
          <w:szCs w:val="18"/>
        </w:rPr>
        <w:t xml:space="preserve"> </w:t>
      </w:r>
    </w:p>
    <w:p w14:paraId="3C5475CD" w14:textId="1F0CAE80" w:rsidR="00076965" w:rsidRDefault="00E5740D" w:rsidP="00F76035">
      <w:pPr>
        <w:pStyle w:val="CETReferencetext"/>
      </w:pPr>
      <w:proofErr w:type="spellStart"/>
      <w:r w:rsidRPr="0069089E">
        <w:t>Infurna</w:t>
      </w:r>
      <w:proofErr w:type="spellEnd"/>
      <w:r>
        <w:t xml:space="preserve"> G.</w:t>
      </w:r>
      <w:r w:rsidRPr="0069089E">
        <w:t xml:space="preserve">, </w:t>
      </w:r>
      <w:r>
        <w:t>Caruso G.</w:t>
      </w:r>
      <w:r w:rsidRPr="0069089E">
        <w:t xml:space="preserve">, </w:t>
      </w:r>
      <w:proofErr w:type="spellStart"/>
      <w:r w:rsidRPr="0069089E">
        <w:t>Dintcheva</w:t>
      </w:r>
      <w:proofErr w:type="spellEnd"/>
      <w:r>
        <w:t xml:space="preserve"> </w:t>
      </w:r>
      <w:proofErr w:type="spellStart"/>
      <w:r w:rsidRPr="0069089E">
        <w:t>N.Tz</w:t>
      </w:r>
      <w:proofErr w:type="spellEnd"/>
      <w:r w:rsidRPr="0069089E">
        <w:t>.</w:t>
      </w:r>
      <w:r>
        <w:t>,</w:t>
      </w:r>
      <w:r w:rsidRPr="0069089E">
        <w:t xml:space="preserve"> </w:t>
      </w:r>
      <w:r>
        <w:t xml:space="preserve">2023, </w:t>
      </w:r>
      <w:r w:rsidR="00076965" w:rsidRPr="00F4438A">
        <w:t>Sustainable Materials Containing Biochar Particles: A Review”</w:t>
      </w:r>
      <w:r w:rsidR="00076965">
        <w:t xml:space="preserve">, </w:t>
      </w:r>
      <w:r w:rsidR="00076965" w:rsidRPr="00F4438A">
        <w:t>Polymers, 15, 343</w:t>
      </w:r>
      <w:r>
        <w:t>.</w:t>
      </w:r>
    </w:p>
    <w:p w14:paraId="42C82A46" w14:textId="77777777" w:rsidR="00E5740D" w:rsidRDefault="00E5740D" w:rsidP="00E5740D">
      <w:pPr>
        <w:pStyle w:val="CETReferencetext"/>
      </w:pPr>
      <w:proofErr w:type="spellStart"/>
      <w:r w:rsidRPr="0069089E">
        <w:t>Infurna</w:t>
      </w:r>
      <w:proofErr w:type="spellEnd"/>
      <w:r>
        <w:t xml:space="preserve"> G.</w:t>
      </w:r>
      <w:r w:rsidRPr="0069089E">
        <w:t xml:space="preserve">, </w:t>
      </w:r>
      <w:proofErr w:type="spellStart"/>
      <w:r w:rsidRPr="0069089E">
        <w:t>Botta</w:t>
      </w:r>
      <w:proofErr w:type="spellEnd"/>
      <w:r>
        <w:t xml:space="preserve"> L.</w:t>
      </w:r>
      <w:r w:rsidRPr="0069089E">
        <w:t>, Maniscalco</w:t>
      </w:r>
      <w:r>
        <w:t xml:space="preserve"> M.</w:t>
      </w:r>
      <w:r w:rsidRPr="0069089E">
        <w:t xml:space="preserve">, </w:t>
      </w:r>
      <w:proofErr w:type="spellStart"/>
      <w:r w:rsidRPr="0069089E">
        <w:t>Morici</w:t>
      </w:r>
      <w:proofErr w:type="spellEnd"/>
      <w:r>
        <w:t xml:space="preserve"> E.</w:t>
      </w:r>
      <w:r w:rsidRPr="0069089E">
        <w:t>, Caputo</w:t>
      </w:r>
      <w:r>
        <w:t xml:space="preserve"> G.</w:t>
      </w:r>
      <w:r w:rsidRPr="0069089E">
        <w:t xml:space="preserve">, </w:t>
      </w:r>
      <w:proofErr w:type="spellStart"/>
      <w:r w:rsidRPr="0069089E">
        <w:t>Marullo</w:t>
      </w:r>
      <w:proofErr w:type="spellEnd"/>
      <w:r>
        <w:t xml:space="preserve"> S.</w:t>
      </w:r>
      <w:r w:rsidRPr="0069089E">
        <w:t xml:space="preserve">, </w:t>
      </w:r>
      <w:proofErr w:type="spellStart"/>
      <w:r w:rsidRPr="0069089E">
        <w:t>D’Anna</w:t>
      </w:r>
      <w:proofErr w:type="spellEnd"/>
      <w:r>
        <w:t xml:space="preserve"> F.</w:t>
      </w:r>
      <w:r w:rsidRPr="0069089E">
        <w:t xml:space="preserve">, </w:t>
      </w:r>
      <w:proofErr w:type="spellStart"/>
      <w:r w:rsidRPr="0069089E">
        <w:t>Dintcheva</w:t>
      </w:r>
      <w:proofErr w:type="spellEnd"/>
      <w:r>
        <w:t xml:space="preserve"> </w:t>
      </w:r>
      <w:proofErr w:type="spellStart"/>
      <w:r w:rsidRPr="0069089E">
        <w:t>N.Tz</w:t>
      </w:r>
      <w:proofErr w:type="spellEnd"/>
      <w:r w:rsidRPr="0069089E">
        <w:t>.</w:t>
      </w:r>
      <w:r>
        <w:t>,</w:t>
      </w:r>
      <w:r w:rsidRPr="0069089E">
        <w:t xml:space="preserve"> </w:t>
      </w:r>
      <w:r>
        <w:t xml:space="preserve">2023, </w:t>
      </w:r>
      <w:r w:rsidRPr="0069089E">
        <w:t xml:space="preserve">Biochar particles obtained from agricultural carob waste as a suitable filler for sustainable </w:t>
      </w:r>
      <w:proofErr w:type="spellStart"/>
      <w:r w:rsidRPr="0069089E">
        <w:t>biocomposite</w:t>
      </w:r>
      <w:proofErr w:type="spellEnd"/>
      <w:r w:rsidRPr="0069089E">
        <w:t xml:space="preserve"> formulations</w:t>
      </w:r>
      <w:r>
        <w:t xml:space="preserve">, </w:t>
      </w:r>
      <w:r w:rsidRPr="0069089E">
        <w:t>Polymers, 14, 3075</w:t>
      </w:r>
      <w:r>
        <w:t>.</w:t>
      </w:r>
    </w:p>
    <w:p w14:paraId="2CF9A60E" w14:textId="20786766" w:rsidR="00EF3393" w:rsidRDefault="00EF3393" w:rsidP="00DC2F85">
      <w:pPr>
        <w:pStyle w:val="CETReferencetext"/>
        <w:rPr>
          <w:rFonts w:cs="Arial"/>
          <w:szCs w:val="18"/>
        </w:rPr>
      </w:pPr>
      <w:r w:rsidRPr="00CF4807">
        <w:rPr>
          <w:rFonts w:cs="Arial"/>
          <w:szCs w:val="18"/>
        </w:rPr>
        <w:t xml:space="preserve">Lucian M., </w:t>
      </w:r>
      <w:proofErr w:type="spellStart"/>
      <w:r w:rsidRPr="00CF4807">
        <w:rPr>
          <w:rFonts w:cs="Arial"/>
          <w:szCs w:val="18"/>
        </w:rPr>
        <w:t>Merzari</w:t>
      </w:r>
      <w:proofErr w:type="spellEnd"/>
      <w:r>
        <w:rPr>
          <w:rFonts w:cs="Arial"/>
          <w:szCs w:val="18"/>
        </w:rPr>
        <w:t xml:space="preserve"> F., </w:t>
      </w:r>
      <w:proofErr w:type="spellStart"/>
      <w:r>
        <w:rPr>
          <w:rFonts w:cs="Arial"/>
          <w:szCs w:val="18"/>
        </w:rPr>
        <w:t>Gubert</w:t>
      </w:r>
      <w:proofErr w:type="spellEnd"/>
      <w:r>
        <w:rPr>
          <w:rFonts w:cs="Arial"/>
          <w:szCs w:val="18"/>
        </w:rPr>
        <w:t xml:space="preserve"> M., </w:t>
      </w:r>
      <w:proofErr w:type="spellStart"/>
      <w:r>
        <w:rPr>
          <w:rFonts w:cs="Arial"/>
          <w:szCs w:val="18"/>
        </w:rPr>
        <w:t>Messineo</w:t>
      </w:r>
      <w:proofErr w:type="spellEnd"/>
      <w:r>
        <w:rPr>
          <w:rFonts w:cs="Arial"/>
          <w:szCs w:val="18"/>
        </w:rPr>
        <w:t>, A., Volpe, M., 202</w:t>
      </w:r>
      <w:r w:rsidR="0086002D">
        <w:rPr>
          <w:rFonts w:cs="Arial"/>
          <w:szCs w:val="18"/>
        </w:rPr>
        <w:t>1</w:t>
      </w:r>
      <w:r>
        <w:rPr>
          <w:rFonts w:cs="Arial"/>
          <w:szCs w:val="18"/>
        </w:rPr>
        <w:t xml:space="preserve">, </w:t>
      </w:r>
      <w:r w:rsidRPr="00EF3393">
        <w:rPr>
          <w:rFonts w:cs="Arial"/>
          <w:szCs w:val="18"/>
        </w:rPr>
        <w:t xml:space="preserve">Industrial-Scale Hydrothermal Carbonization of </w:t>
      </w:r>
      <w:proofErr w:type="spellStart"/>
      <w:r w:rsidRPr="00EF3393">
        <w:rPr>
          <w:rFonts w:cs="Arial"/>
          <w:szCs w:val="18"/>
        </w:rPr>
        <w:t>Agro</w:t>
      </w:r>
      <w:proofErr w:type="spellEnd"/>
      <w:r w:rsidRPr="00EF3393">
        <w:rPr>
          <w:rFonts w:cs="Arial"/>
          <w:szCs w:val="18"/>
        </w:rPr>
        <w:t>-Industrial Digested Sludge: Filterability Enhancement and Phosphorus Recovery, Sustainability, 13, 9343.</w:t>
      </w:r>
    </w:p>
    <w:p w14:paraId="414ACC2F" w14:textId="56FB6D9E" w:rsidR="00016436" w:rsidRPr="00BE2D27" w:rsidRDefault="00DC2F85" w:rsidP="00016436">
      <w:pPr>
        <w:ind w:left="284" w:hanging="284"/>
        <w:rPr>
          <w:rFonts w:cs="Arial"/>
          <w:szCs w:val="18"/>
        </w:rPr>
      </w:pPr>
      <w:r w:rsidRPr="00DC2F85">
        <w:rPr>
          <w:rFonts w:cs="Arial"/>
          <w:szCs w:val="18"/>
        </w:rPr>
        <w:fldChar w:fldCharType="begin" w:fldLock="1"/>
      </w:r>
      <w:r w:rsidRPr="00DC2F85">
        <w:rPr>
          <w:rFonts w:cs="Arial"/>
          <w:szCs w:val="18"/>
        </w:rPr>
        <w:instrText xml:space="preserve">ADDIN Mendeley Bibliography CSL_BIBLIOGRAPHY </w:instrText>
      </w:r>
      <w:r w:rsidRPr="00DC2F85">
        <w:rPr>
          <w:rFonts w:cs="Arial"/>
          <w:szCs w:val="18"/>
        </w:rPr>
        <w:fldChar w:fldCharType="separate"/>
      </w:r>
      <w:r w:rsidR="00016436" w:rsidRPr="00600FD2">
        <w:rPr>
          <w:rFonts w:cs="Arial"/>
          <w:szCs w:val="18"/>
        </w:rPr>
        <w:t>Patra</w:t>
      </w:r>
      <w:r w:rsidR="00016436">
        <w:rPr>
          <w:rFonts w:cs="Arial"/>
          <w:szCs w:val="18"/>
        </w:rPr>
        <w:t xml:space="preserve"> </w:t>
      </w:r>
      <w:r w:rsidR="00016436" w:rsidRPr="00600FD2">
        <w:rPr>
          <w:rFonts w:cs="Arial"/>
          <w:szCs w:val="18"/>
        </w:rPr>
        <w:t>B</w:t>
      </w:r>
      <w:r w:rsidR="00016436">
        <w:rPr>
          <w:rFonts w:cs="Arial"/>
          <w:szCs w:val="18"/>
        </w:rPr>
        <w:t>.</w:t>
      </w:r>
      <w:r w:rsidR="00016436" w:rsidRPr="00600FD2">
        <w:rPr>
          <w:rFonts w:cs="Arial"/>
          <w:szCs w:val="18"/>
        </w:rPr>
        <w:t>R., Nanda</w:t>
      </w:r>
      <w:r w:rsidR="00016436">
        <w:rPr>
          <w:rFonts w:cs="Arial"/>
          <w:szCs w:val="18"/>
        </w:rPr>
        <w:t xml:space="preserve"> S.</w:t>
      </w:r>
      <w:r w:rsidR="00016436" w:rsidRPr="00600FD2">
        <w:rPr>
          <w:rFonts w:cs="Arial"/>
          <w:szCs w:val="18"/>
        </w:rPr>
        <w:t>, Dalai</w:t>
      </w:r>
      <w:r w:rsidR="00016436">
        <w:rPr>
          <w:rFonts w:cs="Arial"/>
          <w:szCs w:val="18"/>
        </w:rPr>
        <w:t xml:space="preserve"> </w:t>
      </w:r>
      <w:r w:rsidR="00016436" w:rsidRPr="00600FD2">
        <w:rPr>
          <w:rFonts w:cs="Arial"/>
          <w:szCs w:val="18"/>
        </w:rPr>
        <w:t>A</w:t>
      </w:r>
      <w:r w:rsidR="00016436">
        <w:rPr>
          <w:rFonts w:cs="Arial"/>
          <w:szCs w:val="18"/>
        </w:rPr>
        <w:t>.</w:t>
      </w:r>
      <w:r w:rsidR="00016436" w:rsidRPr="00600FD2">
        <w:rPr>
          <w:rFonts w:cs="Arial"/>
          <w:szCs w:val="18"/>
        </w:rPr>
        <w:t>K., Meda</w:t>
      </w:r>
      <w:r w:rsidR="00016436">
        <w:rPr>
          <w:rFonts w:cs="Arial"/>
          <w:szCs w:val="18"/>
        </w:rPr>
        <w:t xml:space="preserve"> V</w:t>
      </w:r>
      <w:r w:rsidR="00016436" w:rsidRPr="00600FD2">
        <w:rPr>
          <w:rFonts w:cs="Arial"/>
          <w:szCs w:val="18"/>
        </w:rPr>
        <w:t>,</w:t>
      </w:r>
      <w:r w:rsidR="00016436" w:rsidRPr="004173BD">
        <w:rPr>
          <w:rFonts w:cs="Arial"/>
          <w:szCs w:val="18"/>
        </w:rPr>
        <w:t>,</w:t>
      </w:r>
      <w:r w:rsidR="00016436">
        <w:rPr>
          <w:rFonts w:cs="Arial"/>
          <w:szCs w:val="18"/>
        </w:rPr>
        <w:t xml:space="preserve"> 2021, </w:t>
      </w:r>
      <w:r w:rsidR="00016436" w:rsidRPr="004173BD">
        <w:rPr>
          <w:rFonts w:cs="Arial"/>
          <w:szCs w:val="18"/>
        </w:rPr>
        <w:t>Slow pyrolysis of agro-food wastes and physicochemical characterization of biofuel products,</w:t>
      </w:r>
      <w:r w:rsidR="00016436">
        <w:rPr>
          <w:rFonts w:cs="Arial"/>
          <w:szCs w:val="18"/>
        </w:rPr>
        <w:t xml:space="preserve"> </w:t>
      </w:r>
      <w:r w:rsidR="00016436" w:rsidRPr="004173BD">
        <w:rPr>
          <w:rFonts w:cs="Arial"/>
          <w:szCs w:val="18"/>
        </w:rPr>
        <w:t>Chemosphere,</w:t>
      </w:r>
      <w:r w:rsidR="00016436">
        <w:rPr>
          <w:rFonts w:cs="Arial"/>
          <w:szCs w:val="18"/>
        </w:rPr>
        <w:t xml:space="preserve"> </w:t>
      </w:r>
      <w:r w:rsidR="00016436" w:rsidRPr="004173BD">
        <w:rPr>
          <w:rFonts w:cs="Arial"/>
          <w:szCs w:val="18"/>
        </w:rPr>
        <w:t>285,</w:t>
      </w:r>
      <w:r w:rsidR="00016436">
        <w:rPr>
          <w:rFonts w:cs="Arial"/>
          <w:szCs w:val="18"/>
        </w:rPr>
        <w:t xml:space="preserve"> </w:t>
      </w:r>
      <w:r w:rsidR="00016436" w:rsidRPr="004173BD">
        <w:rPr>
          <w:rFonts w:cs="Arial"/>
          <w:szCs w:val="18"/>
        </w:rPr>
        <w:t>131431</w:t>
      </w:r>
      <w:r w:rsidR="00016436">
        <w:rPr>
          <w:rFonts w:cs="Arial"/>
          <w:szCs w:val="18"/>
        </w:rPr>
        <w:t>.</w:t>
      </w:r>
    </w:p>
    <w:p w14:paraId="687A23E4" w14:textId="77777777" w:rsidR="00042F27" w:rsidRDefault="00042F27" w:rsidP="00DC2F85">
      <w:pPr>
        <w:pStyle w:val="CETReferencetext"/>
      </w:pPr>
      <w:r>
        <w:rPr>
          <w:rFonts w:cs="Arial"/>
          <w:szCs w:val="18"/>
        </w:rPr>
        <w:t>Prins M.J.,</w:t>
      </w:r>
      <w:r w:rsidRPr="00042F27">
        <w:t xml:space="preserve"> </w:t>
      </w:r>
      <w:r>
        <w:t>Ptasinski K. J., Janssen Frans J.J.G., 2006, Torrefaction of wood, J. Anal. Appl. Pyrolysis, 77, 35–40.</w:t>
      </w:r>
    </w:p>
    <w:p w14:paraId="787DCBFF" w14:textId="507E66EA" w:rsidR="00A61360" w:rsidRDefault="00DC2F85" w:rsidP="00DC2F85">
      <w:pPr>
        <w:pStyle w:val="CETReferencetext"/>
        <w:rPr>
          <w:rFonts w:cs="Arial"/>
          <w:szCs w:val="18"/>
        </w:rPr>
      </w:pPr>
      <w:r w:rsidRPr="00DC2F85">
        <w:rPr>
          <w:rFonts w:cs="Arial"/>
          <w:szCs w:val="18"/>
        </w:rPr>
        <w:t>Volpe</w:t>
      </w:r>
      <w:r w:rsidR="00A61360">
        <w:rPr>
          <w:rFonts w:cs="Arial"/>
          <w:szCs w:val="18"/>
        </w:rPr>
        <w:t xml:space="preserve"> R.,</w:t>
      </w:r>
      <w:r w:rsidRPr="00DC2F85">
        <w:rPr>
          <w:rFonts w:cs="Arial"/>
          <w:szCs w:val="18"/>
        </w:rPr>
        <w:t xml:space="preserve"> Messineo</w:t>
      </w:r>
      <w:r w:rsidR="00A61360">
        <w:rPr>
          <w:rFonts w:cs="Arial"/>
          <w:szCs w:val="18"/>
        </w:rPr>
        <w:t xml:space="preserve"> S., </w:t>
      </w:r>
      <w:r w:rsidRPr="00DC2F85">
        <w:rPr>
          <w:rFonts w:cs="Arial"/>
          <w:szCs w:val="18"/>
        </w:rPr>
        <w:t>Volpe</w:t>
      </w:r>
      <w:r w:rsidR="00A61360">
        <w:rPr>
          <w:rFonts w:cs="Arial"/>
          <w:szCs w:val="18"/>
        </w:rPr>
        <w:t xml:space="preserve"> M.</w:t>
      </w:r>
      <w:r w:rsidRPr="00DC2F85">
        <w:rPr>
          <w:rFonts w:cs="Arial"/>
          <w:szCs w:val="18"/>
        </w:rPr>
        <w:t>, Messineo</w:t>
      </w:r>
      <w:r w:rsidR="00A61360">
        <w:rPr>
          <w:rFonts w:cs="Arial"/>
          <w:szCs w:val="18"/>
        </w:rPr>
        <w:t xml:space="preserve"> A.</w:t>
      </w:r>
      <w:r w:rsidRPr="00DC2F85">
        <w:rPr>
          <w:rFonts w:cs="Arial"/>
          <w:szCs w:val="18"/>
        </w:rPr>
        <w:t xml:space="preserve">, </w:t>
      </w:r>
      <w:r w:rsidR="00A61360">
        <w:rPr>
          <w:rFonts w:cs="Arial"/>
          <w:szCs w:val="18"/>
        </w:rPr>
        <w:t xml:space="preserve">2016, </w:t>
      </w:r>
      <w:r w:rsidRPr="00DC2F85">
        <w:rPr>
          <w:rFonts w:cs="Arial"/>
          <w:szCs w:val="18"/>
        </w:rPr>
        <w:t>Catalytic Effect of Char for Tar Cracking in Pyrolysis of Citrus Wastes, Design of a Novel Experimental Set Up and First Results,</w:t>
      </w:r>
      <w:r w:rsidR="00A61360">
        <w:rPr>
          <w:rFonts w:cs="Arial"/>
          <w:szCs w:val="18"/>
        </w:rPr>
        <w:t xml:space="preserve"> Chemical Engineering Transaction</w:t>
      </w:r>
      <w:r w:rsidR="00EC1EB5">
        <w:rPr>
          <w:rFonts w:cs="Arial"/>
          <w:szCs w:val="18"/>
        </w:rPr>
        <w:t>.</w:t>
      </w:r>
      <w:r w:rsidRPr="00DC2F85">
        <w:rPr>
          <w:rFonts w:cs="Arial"/>
          <w:szCs w:val="18"/>
        </w:rPr>
        <w:t xml:space="preserve"> 50</w:t>
      </w:r>
      <w:r w:rsidR="00A61360">
        <w:rPr>
          <w:rFonts w:cs="Arial"/>
          <w:szCs w:val="18"/>
        </w:rPr>
        <w:t xml:space="preserve">, </w:t>
      </w:r>
      <w:r w:rsidRPr="00DC2F85">
        <w:rPr>
          <w:rFonts w:cs="Arial"/>
          <w:szCs w:val="18"/>
        </w:rPr>
        <w:t>181–186.</w:t>
      </w:r>
    </w:p>
    <w:p w14:paraId="6B65541D" w14:textId="66A49CB8" w:rsidR="003E6A30" w:rsidRDefault="003E6A30" w:rsidP="00DC2F85">
      <w:pPr>
        <w:pStyle w:val="CETReferencetext"/>
        <w:rPr>
          <w:rFonts w:cs="Arial"/>
          <w:szCs w:val="18"/>
        </w:rPr>
      </w:pPr>
      <w:r w:rsidRPr="003A4336">
        <w:t>Wang</w:t>
      </w:r>
      <w:r w:rsidRPr="00D7361F">
        <w:t xml:space="preserve"> </w:t>
      </w:r>
      <w:r w:rsidRPr="003A4336">
        <w:t>C</w:t>
      </w:r>
      <w:r>
        <w:t>.</w:t>
      </w:r>
      <w:r w:rsidRPr="003A4336">
        <w:t>, Luo</w:t>
      </w:r>
      <w:r w:rsidRPr="00D7361F">
        <w:t xml:space="preserve"> </w:t>
      </w:r>
      <w:r w:rsidRPr="003A4336">
        <w:t>D</w:t>
      </w:r>
      <w:r>
        <w:t>.</w:t>
      </w:r>
      <w:r w:rsidRPr="003A4336">
        <w:t>, Zhang</w:t>
      </w:r>
      <w:r w:rsidRPr="00D7361F">
        <w:t xml:space="preserve"> </w:t>
      </w:r>
      <w:r w:rsidRPr="003A4336">
        <w:t>X</w:t>
      </w:r>
      <w:r>
        <w:t>.</w:t>
      </w:r>
      <w:r w:rsidRPr="003A4336">
        <w:t>, Huang</w:t>
      </w:r>
      <w:r w:rsidRPr="00D7361F">
        <w:t xml:space="preserve"> </w:t>
      </w:r>
      <w:r>
        <w:t>R.</w:t>
      </w:r>
      <w:r w:rsidRPr="003A4336">
        <w:t>, Cao</w:t>
      </w:r>
      <w:r w:rsidRPr="00D7361F">
        <w:t xml:space="preserve"> </w:t>
      </w:r>
      <w:r w:rsidRPr="003A4336">
        <w:t>Y</w:t>
      </w:r>
      <w:r>
        <w:t>.</w:t>
      </w:r>
      <w:r w:rsidRPr="003A4336">
        <w:t>, Liu</w:t>
      </w:r>
      <w:r w:rsidRPr="00D7361F">
        <w:t xml:space="preserve"> </w:t>
      </w:r>
      <w:r w:rsidRPr="003A4336">
        <w:t>G</w:t>
      </w:r>
      <w:r>
        <w:t>.</w:t>
      </w:r>
      <w:r w:rsidRPr="003A4336">
        <w:t>, Zhang</w:t>
      </w:r>
      <w:r w:rsidRPr="00D7361F">
        <w:t xml:space="preserve"> </w:t>
      </w:r>
      <w:r w:rsidRPr="003A4336">
        <w:t>Y</w:t>
      </w:r>
      <w:r>
        <w:t>.</w:t>
      </w:r>
      <w:r w:rsidRPr="003A4336">
        <w:t>, Wang</w:t>
      </w:r>
      <w:r w:rsidRPr="00D7361F">
        <w:t xml:space="preserve"> </w:t>
      </w:r>
      <w:r w:rsidRPr="003A4336">
        <w:t>H</w:t>
      </w:r>
      <w:r>
        <w:t>.</w:t>
      </w:r>
      <w:r w:rsidRPr="003A4336">
        <w:t>,</w:t>
      </w:r>
      <w:r>
        <w:t xml:space="preserve"> 2022, </w:t>
      </w:r>
      <w:r w:rsidRPr="003A4336">
        <w:t>Biochar-based slow-release of fertilizers for sustainable agriculture: A mini review</w:t>
      </w:r>
      <w:r>
        <w:t xml:space="preserve">, </w:t>
      </w:r>
      <w:r w:rsidRPr="003A4336">
        <w:t>Environmental Science and Ecotechnology,</w:t>
      </w:r>
      <w:r>
        <w:t xml:space="preserve"> 10, 100167.</w:t>
      </w:r>
    </w:p>
    <w:p w14:paraId="03CEA04C" w14:textId="36F49AE1" w:rsidR="00C52C3C" w:rsidRPr="00DC2F85" w:rsidRDefault="00DC2F85" w:rsidP="00E65B91">
      <w:pPr>
        <w:pStyle w:val="CETReferencetext"/>
        <w:rPr>
          <w:rFonts w:cs="Arial"/>
          <w:szCs w:val="18"/>
        </w:rPr>
      </w:pPr>
      <w:r w:rsidRPr="00DC2F85">
        <w:rPr>
          <w:rFonts w:cs="Arial"/>
          <w:szCs w:val="18"/>
        </w:rPr>
        <w:fldChar w:fldCharType="end"/>
      </w:r>
    </w:p>
    <w:p w14:paraId="28E8379D" w14:textId="77777777" w:rsidR="00C52C3C" w:rsidRPr="00DC2F85" w:rsidRDefault="00C52C3C" w:rsidP="00E65B91">
      <w:pPr>
        <w:pStyle w:val="CETReferencetext"/>
        <w:rPr>
          <w:rFonts w:cs="Arial"/>
          <w:szCs w:val="18"/>
        </w:rPr>
      </w:pPr>
    </w:p>
    <w:p w14:paraId="6FAA4342" w14:textId="77777777" w:rsidR="00C52C3C" w:rsidRPr="00DC2F85" w:rsidRDefault="00C52C3C" w:rsidP="00E65B91">
      <w:pPr>
        <w:pStyle w:val="CETReferencetext"/>
        <w:rPr>
          <w:rFonts w:cs="Arial"/>
          <w:szCs w:val="18"/>
        </w:rPr>
      </w:pPr>
    </w:p>
    <w:p w14:paraId="5A13856B" w14:textId="77777777" w:rsidR="006B4888" w:rsidRPr="00DC2F85" w:rsidRDefault="006B4888" w:rsidP="006B4888">
      <w:pPr>
        <w:pStyle w:val="CETReferencetext"/>
        <w:rPr>
          <w:rFonts w:cs="Arial"/>
          <w:szCs w:val="18"/>
        </w:rPr>
      </w:pPr>
    </w:p>
    <w:p w14:paraId="19C4FC68" w14:textId="77777777" w:rsidR="004628D2" w:rsidRPr="00DC2F85" w:rsidRDefault="004628D2" w:rsidP="00DC2F85">
      <w:pPr>
        <w:pStyle w:val="CETReferencetext"/>
        <w:rPr>
          <w:rFonts w:cs="Arial"/>
          <w:szCs w:val="18"/>
        </w:rPr>
      </w:pPr>
      <w:bookmarkStart w:id="1" w:name="_GoBack"/>
      <w:bookmarkEnd w:id="1"/>
    </w:p>
    <w:sectPr w:rsidR="004628D2" w:rsidRPr="00DC2F85" w:rsidSect="00966FA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5E72" w14:textId="77777777" w:rsidR="00D100C4" w:rsidRDefault="00D100C4" w:rsidP="004F5E36">
      <w:r>
        <w:separator/>
      </w:r>
    </w:p>
  </w:endnote>
  <w:endnote w:type="continuationSeparator" w:id="0">
    <w:p w14:paraId="71546852" w14:textId="77777777" w:rsidR="00D100C4" w:rsidRDefault="00D100C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E7E0" w14:textId="77777777" w:rsidR="00D100C4" w:rsidRDefault="00D100C4" w:rsidP="004F5E36">
      <w:r>
        <w:separator/>
      </w:r>
    </w:p>
  </w:footnote>
  <w:footnote w:type="continuationSeparator" w:id="0">
    <w:p w14:paraId="5E290C4F" w14:textId="77777777" w:rsidR="00D100C4" w:rsidRDefault="00D100C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C8C8B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BA243B0"/>
    <w:multiLevelType w:val="multilevel"/>
    <w:tmpl w:val="09008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F77B6E"/>
    <w:multiLevelType w:val="hybridMultilevel"/>
    <w:tmpl w:val="594C2CE8"/>
    <w:lvl w:ilvl="0" w:tplc="04100001">
      <w:start w:val="5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22"/>
  </w:num>
  <w:num w:numId="24">
    <w:abstractNumId w:val="10"/>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326"/>
    <w:rsid w:val="000117CB"/>
    <w:rsid w:val="00016436"/>
    <w:rsid w:val="0001713F"/>
    <w:rsid w:val="0003148D"/>
    <w:rsid w:val="00031EEC"/>
    <w:rsid w:val="00042F27"/>
    <w:rsid w:val="000463DB"/>
    <w:rsid w:val="00051566"/>
    <w:rsid w:val="000562A9"/>
    <w:rsid w:val="00062A9A"/>
    <w:rsid w:val="00065058"/>
    <w:rsid w:val="00076965"/>
    <w:rsid w:val="00086C39"/>
    <w:rsid w:val="000A03B2"/>
    <w:rsid w:val="000D0268"/>
    <w:rsid w:val="000D34BE"/>
    <w:rsid w:val="000D691F"/>
    <w:rsid w:val="000E0EAB"/>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B1E"/>
    <w:rsid w:val="00144D16"/>
    <w:rsid w:val="00150E59"/>
    <w:rsid w:val="00152DE3"/>
    <w:rsid w:val="00156F74"/>
    <w:rsid w:val="00164CF9"/>
    <w:rsid w:val="001667A6"/>
    <w:rsid w:val="00184AD6"/>
    <w:rsid w:val="001A3454"/>
    <w:rsid w:val="001A4AF7"/>
    <w:rsid w:val="001B0349"/>
    <w:rsid w:val="001B1E93"/>
    <w:rsid w:val="001B65C1"/>
    <w:rsid w:val="001C684B"/>
    <w:rsid w:val="001D054D"/>
    <w:rsid w:val="001D0CFB"/>
    <w:rsid w:val="001D21AF"/>
    <w:rsid w:val="001D53FC"/>
    <w:rsid w:val="001F3991"/>
    <w:rsid w:val="001F42A5"/>
    <w:rsid w:val="001F7B9D"/>
    <w:rsid w:val="00201C93"/>
    <w:rsid w:val="002224B4"/>
    <w:rsid w:val="00234C60"/>
    <w:rsid w:val="002447EF"/>
    <w:rsid w:val="00251550"/>
    <w:rsid w:val="00255250"/>
    <w:rsid w:val="00263B05"/>
    <w:rsid w:val="00263B47"/>
    <w:rsid w:val="0027221A"/>
    <w:rsid w:val="00275B61"/>
    <w:rsid w:val="00280FAF"/>
    <w:rsid w:val="00282656"/>
    <w:rsid w:val="0029668F"/>
    <w:rsid w:val="00296B83"/>
    <w:rsid w:val="002A6CC5"/>
    <w:rsid w:val="002B4015"/>
    <w:rsid w:val="002B78CE"/>
    <w:rsid w:val="002C2FB6"/>
    <w:rsid w:val="002D07EF"/>
    <w:rsid w:val="002E5FA7"/>
    <w:rsid w:val="002F3309"/>
    <w:rsid w:val="003008CE"/>
    <w:rsid w:val="003009B7"/>
    <w:rsid w:val="00300E56"/>
    <w:rsid w:val="0030152C"/>
    <w:rsid w:val="0030320F"/>
    <w:rsid w:val="0030469C"/>
    <w:rsid w:val="003167AF"/>
    <w:rsid w:val="00321CA6"/>
    <w:rsid w:val="00323763"/>
    <w:rsid w:val="00323C5F"/>
    <w:rsid w:val="00323F33"/>
    <w:rsid w:val="00334C09"/>
    <w:rsid w:val="00346F2F"/>
    <w:rsid w:val="00361AB5"/>
    <w:rsid w:val="00371B99"/>
    <w:rsid w:val="003723D4"/>
    <w:rsid w:val="00381905"/>
    <w:rsid w:val="00384CC8"/>
    <w:rsid w:val="003871FD"/>
    <w:rsid w:val="003A1E30"/>
    <w:rsid w:val="003A2829"/>
    <w:rsid w:val="003A5619"/>
    <w:rsid w:val="003A6FC6"/>
    <w:rsid w:val="003A7D1C"/>
    <w:rsid w:val="003B304B"/>
    <w:rsid w:val="003B3146"/>
    <w:rsid w:val="003E6472"/>
    <w:rsid w:val="003E6A30"/>
    <w:rsid w:val="003F015E"/>
    <w:rsid w:val="00400414"/>
    <w:rsid w:val="0041446B"/>
    <w:rsid w:val="0044071E"/>
    <w:rsid w:val="0044329C"/>
    <w:rsid w:val="00446FA8"/>
    <w:rsid w:val="00453E24"/>
    <w:rsid w:val="00457456"/>
    <w:rsid w:val="004577FE"/>
    <w:rsid w:val="00457B9C"/>
    <w:rsid w:val="0046164A"/>
    <w:rsid w:val="004628D2"/>
    <w:rsid w:val="00462DCD"/>
    <w:rsid w:val="004648AD"/>
    <w:rsid w:val="004703A9"/>
    <w:rsid w:val="004760DE"/>
    <w:rsid w:val="004761E9"/>
    <w:rsid w:val="004763D7"/>
    <w:rsid w:val="00477AA8"/>
    <w:rsid w:val="00490790"/>
    <w:rsid w:val="00497053"/>
    <w:rsid w:val="004A004E"/>
    <w:rsid w:val="004A24CF"/>
    <w:rsid w:val="004B71E1"/>
    <w:rsid w:val="004C3D1D"/>
    <w:rsid w:val="004C3D84"/>
    <w:rsid w:val="004C7913"/>
    <w:rsid w:val="004E4DD6"/>
    <w:rsid w:val="004F5E36"/>
    <w:rsid w:val="00500A7E"/>
    <w:rsid w:val="00505FAB"/>
    <w:rsid w:val="00507B47"/>
    <w:rsid w:val="00507BEF"/>
    <w:rsid w:val="00507CC9"/>
    <w:rsid w:val="005119A5"/>
    <w:rsid w:val="0051430B"/>
    <w:rsid w:val="00516AAC"/>
    <w:rsid w:val="005278B7"/>
    <w:rsid w:val="00532016"/>
    <w:rsid w:val="005346C8"/>
    <w:rsid w:val="00543E7D"/>
    <w:rsid w:val="00547A68"/>
    <w:rsid w:val="005531C9"/>
    <w:rsid w:val="00570C43"/>
    <w:rsid w:val="00586476"/>
    <w:rsid w:val="00590F5D"/>
    <w:rsid w:val="005A2966"/>
    <w:rsid w:val="005B2110"/>
    <w:rsid w:val="005B61E6"/>
    <w:rsid w:val="005C2F7C"/>
    <w:rsid w:val="005C3147"/>
    <w:rsid w:val="005C77E1"/>
    <w:rsid w:val="005D668A"/>
    <w:rsid w:val="005D6A2F"/>
    <w:rsid w:val="005E1A82"/>
    <w:rsid w:val="005E4F4F"/>
    <w:rsid w:val="005E6AFC"/>
    <w:rsid w:val="005E794C"/>
    <w:rsid w:val="005F0639"/>
    <w:rsid w:val="005F0A28"/>
    <w:rsid w:val="005F0E5E"/>
    <w:rsid w:val="005F604F"/>
    <w:rsid w:val="00600535"/>
    <w:rsid w:val="00610CD6"/>
    <w:rsid w:val="00617241"/>
    <w:rsid w:val="00620DEE"/>
    <w:rsid w:val="00621DB3"/>
    <w:rsid w:val="00621F92"/>
    <w:rsid w:val="0062280A"/>
    <w:rsid w:val="00625639"/>
    <w:rsid w:val="00630756"/>
    <w:rsid w:val="00631B33"/>
    <w:rsid w:val="0064184D"/>
    <w:rsid w:val="006422CC"/>
    <w:rsid w:val="006458B2"/>
    <w:rsid w:val="00650D14"/>
    <w:rsid w:val="00660E3E"/>
    <w:rsid w:val="00662E74"/>
    <w:rsid w:val="00680C23"/>
    <w:rsid w:val="00693766"/>
    <w:rsid w:val="006A23E9"/>
    <w:rsid w:val="006A23FC"/>
    <w:rsid w:val="006A3281"/>
    <w:rsid w:val="006B4888"/>
    <w:rsid w:val="006C2E45"/>
    <w:rsid w:val="006C359C"/>
    <w:rsid w:val="006C5579"/>
    <w:rsid w:val="006D3604"/>
    <w:rsid w:val="006D6E8B"/>
    <w:rsid w:val="006E737D"/>
    <w:rsid w:val="00713973"/>
    <w:rsid w:val="00716441"/>
    <w:rsid w:val="00720A24"/>
    <w:rsid w:val="00725FB9"/>
    <w:rsid w:val="00727B87"/>
    <w:rsid w:val="00732386"/>
    <w:rsid w:val="0073410C"/>
    <w:rsid w:val="0073514D"/>
    <w:rsid w:val="007447F3"/>
    <w:rsid w:val="0075499F"/>
    <w:rsid w:val="00755F27"/>
    <w:rsid w:val="007661C8"/>
    <w:rsid w:val="0077098D"/>
    <w:rsid w:val="00793061"/>
    <w:rsid w:val="007931FA"/>
    <w:rsid w:val="00797C5E"/>
    <w:rsid w:val="007A4861"/>
    <w:rsid w:val="007A7BBA"/>
    <w:rsid w:val="007B0C50"/>
    <w:rsid w:val="007B1992"/>
    <w:rsid w:val="007B48F9"/>
    <w:rsid w:val="007B5559"/>
    <w:rsid w:val="007C1A43"/>
    <w:rsid w:val="007D0951"/>
    <w:rsid w:val="0080013E"/>
    <w:rsid w:val="0080451F"/>
    <w:rsid w:val="00813288"/>
    <w:rsid w:val="008168FC"/>
    <w:rsid w:val="00830996"/>
    <w:rsid w:val="008345F1"/>
    <w:rsid w:val="00837C9D"/>
    <w:rsid w:val="00843EAC"/>
    <w:rsid w:val="00851F03"/>
    <w:rsid w:val="0086002D"/>
    <w:rsid w:val="00865B07"/>
    <w:rsid w:val="008667EA"/>
    <w:rsid w:val="0087637F"/>
    <w:rsid w:val="0087779F"/>
    <w:rsid w:val="0088120A"/>
    <w:rsid w:val="008874BE"/>
    <w:rsid w:val="00892AD5"/>
    <w:rsid w:val="008A1512"/>
    <w:rsid w:val="008B7C03"/>
    <w:rsid w:val="008C1174"/>
    <w:rsid w:val="008C537D"/>
    <w:rsid w:val="008D32B9"/>
    <w:rsid w:val="008D4058"/>
    <w:rsid w:val="008D433B"/>
    <w:rsid w:val="008D4A16"/>
    <w:rsid w:val="008E566E"/>
    <w:rsid w:val="0090161A"/>
    <w:rsid w:val="00901EB6"/>
    <w:rsid w:val="00902EDA"/>
    <w:rsid w:val="00904C62"/>
    <w:rsid w:val="00910394"/>
    <w:rsid w:val="00910DA6"/>
    <w:rsid w:val="00922BA8"/>
    <w:rsid w:val="00924DAC"/>
    <w:rsid w:val="00927058"/>
    <w:rsid w:val="00942750"/>
    <w:rsid w:val="009450CE"/>
    <w:rsid w:val="009459BB"/>
    <w:rsid w:val="00947179"/>
    <w:rsid w:val="009514FB"/>
    <w:rsid w:val="0095164B"/>
    <w:rsid w:val="00954090"/>
    <w:rsid w:val="009573E7"/>
    <w:rsid w:val="0096178A"/>
    <w:rsid w:val="00962FE1"/>
    <w:rsid w:val="00963E05"/>
    <w:rsid w:val="00964A45"/>
    <w:rsid w:val="00966FAC"/>
    <w:rsid w:val="00967843"/>
    <w:rsid w:val="00967D54"/>
    <w:rsid w:val="00971028"/>
    <w:rsid w:val="009831F7"/>
    <w:rsid w:val="0099001C"/>
    <w:rsid w:val="00993B84"/>
    <w:rsid w:val="00996483"/>
    <w:rsid w:val="00996F5A"/>
    <w:rsid w:val="009B041A"/>
    <w:rsid w:val="009C1AB0"/>
    <w:rsid w:val="009C32FA"/>
    <w:rsid w:val="009C37C3"/>
    <w:rsid w:val="009C7C86"/>
    <w:rsid w:val="009D2FF7"/>
    <w:rsid w:val="009D4430"/>
    <w:rsid w:val="009D6A65"/>
    <w:rsid w:val="009E336C"/>
    <w:rsid w:val="009E7884"/>
    <w:rsid w:val="009E788A"/>
    <w:rsid w:val="009F0E08"/>
    <w:rsid w:val="00A13C48"/>
    <w:rsid w:val="00A1763D"/>
    <w:rsid w:val="00A17CEC"/>
    <w:rsid w:val="00A208EA"/>
    <w:rsid w:val="00A27EF0"/>
    <w:rsid w:val="00A36AA8"/>
    <w:rsid w:val="00A42361"/>
    <w:rsid w:val="00A44574"/>
    <w:rsid w:val="00A50B20"/>
    <w:rsid w:val="00A51390"/>
    <w:rsid w:val="00A60D13"/>
    <w:rsid w:val="00A61360"/>
    <w:rsid w:val="00A7223D"/>
    <w:rsid w:val="00A72745"/>
    <w:rsid w:val="00A76EFC"/>
    <w:rsid w:val="00A812BD"/>
    <w:rsid w:val="00A87D50"/>
    <w:rsid w:val="00A91010"/>
    <w:rsid w:val="00A96CCB"/>
    <w:rsid w:val="00A97F29"/>
    <w:rsid w:val="00AA702E"/>
    <w:rsid w:val="00AA7D26"/>
    <w:rsid w:val="00AB0964"/>
    <w:rsid w:val="00AB5011"/>
    <w:rsid w:val="00AC7368"/>
    <w:rsid w:val="00AD0187"/>
    <w:rsid w:val="00AD16B9"/>
    <w:rsid w:val="00AE377D"/>
    <w:rsid w:val="00AF0EBA"/>
    <w:rsid w:val="00AF61A7"/>
    <w:rsid w:val="00B02C8A"/>
    <w:rsid w:val="00B15EBF"/>
    <w:rsid w:val="00B17FBD"/>
    <w:rsid w:val="00B315A6"/>
    <w:rsid w:val="00B31813"/>
    <w:rsid w:val="00B33365"/>
    <w:rsid w:val="00B57B36"/>
    <w:rsid w:val="00B57E6F"/>
    <w:rsid w:val="00B8686D"/>
    <w:rsid w:val="00B93F69"/>
    <w:rsid w:val="00BB1DDC"/>
    <w:rsid w:val="00BB5A35"/>
    <w:rsid w:val="00BC30C9"/>
    <w:rsid w:val="00BD077D"/>
    <w:rsid w:val="00BD721A"/>
    <w:rsid w:val="00BE3E58"/>
    <w:rsid w:val="00C01616"/>
    <w:rsid w:val="00C0162B"/>
    <w:rsid w:val="00C068ED"/>
    <w:rsid w:val="00C16996"/>
    <w:rsid w:val="00C22E0C"/>
    <w:rsid w:val="00C345B1"/>
    <w:rsid w:val="00C40142"/>
    <w:rsid w:val="00C4165A"/>
    <w:rsid w:val="00C50E6A"/>
    <w:rsid w:val="00C52C3C"/>
    <w:rsid w:val="00C57182"/>
    <w:rsid w:val="00C57863"/>
    <w:rsid w:val="00C640AF"/>
    <w:rsid w:val="00C655FD"/>
    <w:rsid w:val="00C75407"/>
    <w:rsid w:val="00C8051E"/>
    <w:rsid w:val="00C870A8"/>
    <w:rsid w:val="00C94434"/>
    <w:rsid w:val="00CA0D4A"/>
    <w:rsid w:val="00CA0D75"/>
    <w:rsid w:val="00CA1C95"/>
    <w:rsid w:val="00CA5A9C"/>
    <w:rsid w:val="00CC4C20"/>
    <w:rsid w:val="00CD03A8"/>
    <w:rsid w:val="00CD3517"/>
    <w:rsid w:val="00CD5FE2"/>
    <w:rsid w:val="00CE7C68"/>
    <w:rsid w:val="00CF4807"/>
    <w:rsid w:val="00D02B4C"/>
    <w:rsid w:val="00D040C4"/>
    <w:rsid w:val="00D070B0"/>
    <w:rsid w:val="00D100C4"/>
    <w:rsid w:val="00D20AD1"/>
    <w:rsid w:val="00D2513A"/>
    <w:rsid w:val="00D252BC"/>
    <w:rsid w:val="00D4093E"/>
    <w:rsid w:val="00D46B7E"/>
    <w:rsid w:val="00D540BD"/>
    <w:rsid w:val="00D57C84"/>
    <w:rsid w:val="00D6057D"/>
    <w:rsid w:val="00D648EC"/>
    <w:rsid w:val="00D71640"/>
    <w:rsid w:val="00D836C5"/>
    <w:rsid w:val="00D84576"/>
    <w:rsid w:val="00DA1399"/>
    <w:rsid w:val="00DA24C6"/>
    <w:rsid w:val="00DA4D7B"/>
    <w:rsid w:val="00DB3233"/>
    <w:rsid w:val="00DC2F85"/>
    <w:rsid w:val="00DD271C"/>
    <w:rsid w:val="00DD4EC5"/>
    <w:rsid w:val="00DE264A"/>
    <w:rsid w:val="00DF5072"/>
    <w:rsid w:val="00E02D18"/>
    <w:rsid w:val="00E041E7"/>
    <w:rsid w:val="00E0515A"/>
    <w:rsid w:val="00E23CA1"/>
    <w:rsid w:val="00E33DD7"/>
    <w:rsid w:val="00E409A8"/>
    <w:rsid w:val="00E50C12"/>
    <w:rsid w:val="00E5740D"/>
    <w:rsid w:val="00E64DB9"/>
    <w:rsid w:val="00E65B91"/>
    <w:rsid w:val="00E7209D"/>
    <w:rsid w:val="00E72EAD"/>
    <w:rsid w:val="00E77223"/>
    <w:rsid w:val="00E8528B"/>
    <w:rsid w:val="00E85B94"/>
    <w:rsid w:val="00E976A3"/>
    <w:rsid w:val="00E978D0"/>
    <w:rsid w:val="00EA4613"/>
    <w:rsid w:val="00EA7F91"/>
    <w:rsid w:val="00EB1523"/>
    <w:rsid w:val="00EB7C8C"/>
    <w:rsid w:val="00EC0E49"/>
    <w:rsid w:val="00EC101F"/>
    <w:rsid w:val="00EC1D9F"/>
    <w:rsid w:val="00EC1EB5"/>
    <w:rsid w:val="00EE0131"/>
    <w:rsid w:val="00EE17B0"/>
    <w:rsid w:val="00EF06D9"/>
    <w:rsid w:val="00EF3393"/>
    <w:rsid w:val="00EF722C"/>
    <w:rsid w:val="00EF75AD"/>
    <w:rsid w:val="00F0265A"/>
    <w:rsid w:val="00F0390C"/>
    <w:rsid w:val="00F3049E"/>
    <w:rsid w:val="00F30C64"/>
    <w:rsid w:val="00F32BA2"/>
    <w:rsid w:val="00F32CDB"/>
    <w:rsid w:val="00F565FE"/>
    <w:rsid w:val="00F56B58"/>
    <w:rsid w:val="00F63A70"/>
    <w:rsid w:val="00F63D8C"/>
    <w:rsid w:val="00F741F1"/>
    <w:rsid w:val="00F748E3"/>
    <w:rsid w:val="00F7534E"/>
    <w:rsid w:val="00F76035"/>
    <w:rsid w:val="00F93EDF"/>
    <w:rsid w:val="00FA1802"/>
    <w:rsid w:val="00FA21D0"/>
    <w:rsid w:val="00FA5F5F"/>
    <w:rsid w:val="00FB730C"/>
    <w:rsid w:val="00FC17A0"/>
    <w:rsid w:val="00FC2695"/>
    <w:rsid w:val="00FC3E03"/>
    <w:rsid w:val="00FC3FC1"/>
    <w:rsid w:val="00FE0F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252B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252B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MDPI31text">
    <w:name w:val="MDPI_3.1_text"/>
    <w:qFormat/>
    <w:rsid w:val="00617241"/>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1426FF-797C-4E95-BF10-6FAA1B820727}">
  <we:reference id="wa104382081" version="1.55.1.0" store="it-IT"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67A8-13D9-4861-A2E0-17430653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2975</Words>
  <Characters>16959</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Maurizio Volpe</cp:lastModifiedBy>
  <cp:revision>10</cp:revision>
  <cp:lastPrinted>2015-05-12T18:31:00Z</cp:lastPrinted>
  <dcterms:created xsi:type="dcterms:W3CDTF">2024-02-06T11:32:00Z</dcterms:created>
  <dcterms:modified xsi:type="dcterms:W3CDTF">2024-02-06T12:32:00Z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fd8b5512dd86a1327ac6a3cfb366adac03a7c55207889090baa4ec5f6c03872f</vt:lpwstr>
  </property>
</Properties>
</file>